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921" w:rsidRDefault="00202921" w:rsidP="00385565">
      <w:pPr>
        <w:widowControl w:val="0"/>
        <w:spacing w:line="360" w:lineRule="auto"/>
        <w:jc w:val="both"/>
        <w:rPr>
          <w:rFonts w:ascii="Palatino Linotype" w:eastAsia="Calibri" w:hAnsi="Palatino Linotype" w:cs="Arial"/>
          <w:b/>
          <w:color w:val="000000"/>
        </w:rPr>
      </w:pPr>
      <w:r w:rsidRPr="0073286C">
        <w:rPr>
          <w:rFonts w:ascii="Palatino Linotype" w:hAnsi="Palatino Linotype" w:cs="Arial"/>
          <w:b/>
        </w:rPr>
        <w:t>VOTO PARTICULAR</w:t>
      </w:r>
      <w:r w:rsidR="002F0051">
        <w:rPr>
          <w:rFonts w:ascii="Palatino Linotype" w:hAnsi="Palatino Linotype" w:cs="Arial"/>
          <w:b/>
        </w:rPr>
        <w:t xml:space="preserve"> CONCURRENTE</w:t>
      </w:r>
      <w:r w:rsidRPr="0073286C">
        <w:rPr>
          <w:rFonts w:ascii="Palatino Linotype" w:hAnsi="Palatino Linotype" w:cs="Arial"/>
          <w:b/>
        </w:rPr>
        <w:t xml:space="preserve"> QUE FORMULA</w:t>
      </w:r>
      <w:r w:rsidR="002F0051">
        <w:rPr>
          <w:rFonts w:ascii="Palatino Linotype" w:hAnsi="Palatino Linotype" w:cs="Arial"/>
          <w:b/>
        </w:rPr>
        <w:t>N</w:t>
      </w:r>
      <w:r w:rsidRPr="0073286C">
        <w:rPr>
          <w:rFonts w:ascii="Palatino Linotype" w:hAnsi="Palatino Linotype" w:cs="Arial"/>
          <w:b/>
        </w:rPr>
        <w:t xml:space="preserve"> LA COMISIONADA EVA ABAID YAPUR</w:t>
      </w:r>
      <w:r w:rsidR="002F0051">
        <w:rPr>
          <w:rFonts w:ascii="Palatino Linotype" w:hAnsi="Palatino Linotype" w:cs="Arial"/>
          <w:b/>
        </w:rPr>
        <w:t xml:space="preserve"> Y </w:t>
      </w:r>
      <w:r w:rsidR="00834348" w:rsidRPr="00834348">
        <w:rPr>
          <w:rFonts w:ascii="Palatino Linotype" w:hAnsi="Palatino Linotype" w:cs="Arial"/>
          <w:b/>
        </w:rPr>
        <w:t xml:space="preserve">LOS COMISIONADOS </w:t>
      </w:r>
      <w:r w:rsidR="00DF46B8" w:rsidRPr="00834348">
        <w:rPr>
          <w:rFonts w:ascii="Palatino Linotype" w:hAnsi="Palatino Linotype" w:cs="Arial"/>
          <w:b/>
        </w:rPr>
        <w:t xml:space="preserve">JOSÉ GUADALUPE LUNA HERNÁNDEZ </w:t>
      </w:r>
      <w:r w:rsidR="00834348" w:rsidRPr="00834348">
        <w:rPr>
          <w:rFonts w:ascii="Palatino Linotype" w:hAnsi="Palatino Linotype" w:cs="Arial"/>
          <w:b/>
        </w:rPr>
        <w:t>Y</w:t>
      </w:r>
      <w:r w:rsidR="00DF46B8" w:rsidRPr="00DF46B8">
        <w:rPr>
          <w:rFonts w:ascii="Palatino Linotype" w:hAnsi="Palatino Linotype" w:cs="Arial"/>
          <w:b/>
        </w:rPr>
        <w:t xml:space="preserve"> </w:t>
      </w:r>
      <w:r w:rsidR="00DF46B8" w:rsidRPr="00834348">
        <w:rPr>
          <w:rFonts w:ascii="Palatino Linotype" w:hAnsi="Palatino Linotype" w:cs="Arial"/>
          <w:b/>
        </w:rPr>
        <w:t>LUIS GUSTAVO PARRA NORIEGA</w:t>
      </w:r>
      <w:r w:rsidR="002F0051">
        <w:rPr>
          <w:rFonts w:ascii="Palatino Linotype" w:hAnsi="Palatino Linotype" w:cs="Arial"/>
          <w:b/>
        </w:rPr>
        <w:t>,</w:t>
      </w:r>
      <w:r w:rsidRPr="0073286C">
        <w:rPr>
          <w:rFonts w:ascii="Palatino Linotype" w:hAnsi="Palatino Linotype" w:cs="Arial"/>
          <w:b/>
        </w:rPr>
        <w:t xml:space="preserve"> EN RELACIÓN CON LA RESOLUCIÓN DICTADA POR EL PLENO DEL INSTITUTO DE TRANSPARENCIA, ACCESO A LA INFORMACIÓN PÚBLICA Y PROTECCIÓN DE DATOS PERSONALES DEL ESTADO DE MÉXICO Y MUNICIPIOS, EN LA </w:t>
      </w:r>
      <w:r w:rsidR="002F0051">
        <w:rPr>
          <w:rFonts w:ascii="Palatino Linotype" w:hAnsi="Palatino Linotype" w:cs="Arial"/>
          <w:b/>
        </w:rPr>
        <w:t>CUADRAGÉSIMA</w:t>
      </w:r>
      <w:r w:rsidR="00400547">
        <w:rPr>
          <w:rFonts w:ascii="Palatino Linotype" w:hAnsi="Palatino Linotype" w:cs="Arial"/>
          <w:b/>
        </w:rPr>
        <w:t xml:space="preserve"> </w:t>
      </w:r>
      <w:r w:rsidRPr="0073286C">
        <w:rPr>
          <w:rFonts w:ascii="Palatino Linotype" w:hAnsi="Palatino Linotype" w:cs="Arial"/>
          <w:b/>
        </w:rPr>
        <w:t xml:space="preserve">SESIÓN ORDINARIA DE </w:t>
      </w:r>
      <w:r w:rsidR="002F0051">
        <w:rPr>
          <w:rFonts w:ascii="Palatino Linotype" w:hAnsi="Palatino Linotype" w:cs="Arial"/>
          <w:b/>
        </w:rPr>
        <w:t>TREINTA Y UNO DE OCTUBRE</w:t>
      </w:r>
      <w:r w:rsidR="00400547">
        <w:rPr>
          <w:rFonts w:ascii="Palatino Linotype" w:hAnsi="Palatino Linotype" w:cs="Arial"/>
          <w:b/>
        </w:rPr>
        <w:t xml:space="preserve"> </w:t>
      </w:r>
      <w:r>
        <w:rPr>
          <w:rFonts w:ascii="Palatino Linotype" w:hAnsi="Palatino Linotype" w:cs="Arial"/>
          <w:b/>
        </w:rPr>
        <w:t xml:space="preserve">DE DOS MIL </w:t>
      </w:r>
      <w:r w:rsidRPr="0073286C">
        <w:rPr>
          <w:rFonts w:ascii="Palatino Linotype" w:hAnsi="Palatino Linotype" w:cs="Arial"/>
          <w:b/>
        </w:rPr>
        <w:t>DIECI</w:t>
      </w:r>
      <w:r>
        <w:rPr>
          <w:rFonts w:ascii="Palatino Linotype" w:hAnsi="Palatino Linotype" w:cs="Arial"/>
          <w:b/>
        </w:rPr>
        <w:t>OCHO</w:t>
      </w:r>
      <w:r w:rsidRPr="0073286C">
        <w:rPr>
          <w:rFonts w:ascii="Palatino Linotype" w:hAnsi="Palatino Linotype" w:cs="Arial"/>
          <w:b/>
        </w:rPr>
        <w:t xml:space="preserve">, EN </w:t>
      </w:r>
      <w:r w:rsidR="00400547">
        <w:rPr>
          <w:rFonts w:ascii="Palatino Linotype" w:hAnsi="Palatino Linotype" w:cs="Arial"/>
          <w:b/>
        </w:rPr>
        <w:t>EL</w:t>
      </w:r>
      <w:r w:rsidRPr="0073286C">
        <w:rPr>
          <w:rFonts w:ascii="Palatino Linotype" w:hAnsi="Palatino Linotype" w:cs="Arial"/>
          <w:b/>
        </w:rPr>
        <w:t xml:space="preserve"> RECURSO DE REVISIÓN</w:t>
      </w:r>
      <w:r>
        <w:rPr>
          <w:rFonts w:ascii="Palatino Linotype" w:hAnsi="Palatino Linotype" w:cs="Arial"/>
          <w:b/>
        </w:rPr>
        <w:t xml:space="preserve"> 0</w:t>
      </w:r>
      <w:r w:rsidR="002F0051">
        <w:rPr>
          <w:rFonts w:ascii="Palatino Linotype" w:hAnsi="Palatino Linotype" w:cs="Arial"/>
          <w:b/>
        </w:rPr>
        <w:t>3</w:t>
      </w:r>
      <w:r w:rsidR="00834348">
        <w:rPr>
          <w:rFonts w:ascii="Palatino Linotype" w:hAnsi="Palatino Linotype" w:cs="Arial"/>
          <w:b/>
        </w:rPr>
        <w:t>145</w:t>
      </w:r>
      <w:r>
        <w:rPr>
          <w:rFonts w:ascii="Palatino Linotype" w:hAnsi="Palatino Linotype" w:cs="Arial"/>
          <w:b/>
        </w:rPr>
        <w:t>/</w:t>
      </w:r>
      <w:r w:rsidRPr="00F87541">
        <w:rPr>
          <w:rFonts w:ascii="Palatino Linotype" w:hAnsi="Palatino Linotype" w:cs="Arial"/>
          <w:b/>
        </w:rPr>
        <w:t>INFOEM/IP/RR/201</w:t>
      </w:r>
      <w:r>
        <w:rPr>
          <w:rFonts w:ascii="Palatino Linotype" w:hAnsi="Palatino Linotype" w:cs="Arial"/>
          <w:b/>
        </w:rPr>
        <w:t>8</w:t>
      </w:r>
      <w:r w:rsidRPr="0073286C">
        <w:rPr>
          <w:rFonts w:ascii="Palatino Linotype" w:eastAsia="Calibri" w:hAnsi="Palatino Linotype" w:cs="Arial"/>
          <w:b/>
          <w:color w:val="000000"/>
        </w:rPr>
        <w:t>.</w:t>
      </w:r>
      <w:r w:rsidR="00213408">
        <w:rPr>
          <w:rFonts w:ascii="Palatino Linotype" w:eastAsia="Calibri" w:hAnsi="Palatino Linotype" w:cs="Arial"/>
          <w:b/>
          <w:color w:val="000000"/>
        </w:rPr>
        <w:t xml:space="preserve"> </w:t>
      </w:r>
    </w:p>
    <w:p w:rsidR="006468C8" w:rsidRDefault="006468C8" w:rsidP="00385565">
      <w:pPr>
        <w:widowControl w:val="0"/>
        <w:spacing w:line="360" w:lineRule="auto"/>
        <w:jc w:val="both"/>
        <w:rPr>
          <w:rFonts w:ascii="Palatino Linotype" w:eastAsia="Calibri" w:hAnsi="Palatino Linotype" w:cs="Arial"/>
          <w:b/>
          <w:color w:val="000000"/>
        </w:rPr>
      </w:pPr>
    </w:p>
    <w:p w:rsidR="00202921" w:rsidRDefault="00202921" w:rsidP="00385565">
      <w:pPr>
        <w:spacing w:line="360" w:lineRule="auto"/>
        <w:jc w:val="both"/>
        <w:rPr>
          <w:rFonts w:ascii="Palatino Linotype" w:hAnsi="Palatino Linotype" w:cs="Arial"/>
        </w:rPr>
      </w:pPr>
      <w:r w:rsidRPr="0073286C">
        <w:rPr>
          <w:rFonts w:ascii="Palatino Linotype" w:hAnsi="Palatino Linotype" w:cs="Arial"/>
        </w:rPr>
        <w:t>Con fundamento en lo dispuesto por el artículo 14</w:t>
      </w:r>
      <w:r w:rsidR="00DF46B8">
        <w:rPr>
          <w:rFonts w:ascii="Palatino Linotype" w:hAnsi="Palatino Linotype" w:cs="Arial"/>
        </w:rPr>
        <w:t>,</w:t>
      </w:r>
      <w:r w:rsidRPr="0073286C">
        <w:rPr>
          <w:rFonts w:ascii="Palatino Linotype" w:hAnsi="Palatino Linotype" w:cs="Arial"/>
        </w:rPr>
        <w:t xml:space="preserve"> fracciones X y XI</w:t>
      </w:r>
      <w:r w:rsidR="00DF46B8">
        <w:rPr>
          <w:rFonts w:ascii="Palatino Linotype" w:hAnsi="Palatino Linotype" w:cs="Arial"/>
        </w:rPr>
        <w:t>,</w:t>
      </w:r>
      <w:r w:rsidRPr="0073286C">
        <w:rPr>
          <w:rFonts w:ascii="Palatino Linotype" w:hAnsi="Palatino Linotype" w:cs="Arial"/>
        </w:rPr>
        <w:t xml:space="preserve"> del Reglamento Interior del Instituto de Transparencia, Acceso a la Información Pública y Protección de Datos Personales del Esta</w:t>
      </w:r>
      <w:r w:rsidR="00834348">
        <w:rPr>
          <w:rFonts w:ascii="Palatino Linotype" w:hAnsi="Palatino Linotype" w:cs="Arial"/>
        </w:rPr>
        <w:t>do de México y Municipios, lo</w:t>
      </w:r>
      <w:r w:rsidR="00B313DC">
        <w:rPr>
          <w:rFonts w:ascii="Palatino Linotype" w:hAnsi="Palatino Linotype" w:cs="Arial"/>
        </w:rPr>
        <w:t>s</w:t>
      </w:r>
      <w:r w:rsidRPr="0073286C">
        <w:rPr>
          <w:rFonts w:ascii="Palatino Linotype" w:hAnsi="Palatino Linotype" w:cs="Arial"/>
        </w:rPr>
        <w:t xml:space="preserve"> que suscribe</w:t>
      </w:r>
      <w:r w:rsidR="00B313DC">
        <w:rPr>
          <w:rFonts w:ascii="Palatino Linotype" w:hAnsi="Palatino Linotype" w:cs="Arial"/>
        </w:rPr>
        <w:t>n</w:t>
      </w:r>
      <w:r w:rsidRPr="0073286C">
        <w:rPr>
          <w:rFonts w:ascii="Palatino Linotype" w:hAnsi="Palatino Linotype" w:cs="Arial"/>
          <w:b/>
          <w:lang w:val="es-ES_tradnl"/>
        </w:rPr>
        <w:t xml:space="preserve"> </w:t>
      </w:r>
      <w:r w:rsidRPr="0073286C">
        <w:rPr>
          <w:rFonts w:ascii="Palatino Linotype" w:hAnsi="Palatino Linotype" w:cs="Arial"/>
          <w:b/>
        </w:rPr>
        <w:t>EVA ABAID YAPUR</w:t>
      </w:r>
      <w:r w:rsidR="00834348">
        <w:rPr>
          <w:rFonts w:ascii="Palatino Linotype" w:hAnsi="Palatino Linotype" w:cs="Arial"/>
          <w:b/>
        </w:rPr>
        <w:t xml:space="preserve">, </w:t>
      </w:r>
      <w:r w:rsidR="00DF46B8" w:rsidRPr="00834348">
        <w:rPr>
          <w:rFonts w:ascii="Palatino Linotype" w:hAnsi="Palatino Linotype" w:cs="Arial"/>
          <w:b/>
        </w:rPr>
        <w:t xml:space="preserve">JOSÉ GUADALUPE LUNA HERNÁNDEZ </w:t>
      </w:r>
      <w:r w:rsidR="00834348" w:rsidRPr="00834348">
        <w:rPr>
          <w:rFonts w:ascii="Palatino Linotype" w:hAnsi="Palatino Linotype" w:cs="Arial"/>
        </w:rPr>
        <w:t>y</w:t>
      </w:r>
      <w:r w:rsidR="00DF46B8">
        <w:rPr>
          <w:rFonts w:ascii="Palatino Linotype" w:hAnsi="Palatino Linotype" w:cs="Arial"/>
        </w:rPr>
        <w:t xml:space="preserve"> </w:t>
      </w:r>
      <w:r w:rsidR="00DF46B8" w:rsidRPr="00834348">
        <w:rPr>
          <w:rFonts w:ascii="Palatino Linotype" w:hAnsi="Palatino Linotype" w:cs="Arial"/>
          <w:b/>
        </w:rPr>
        <w:t>LUIS GUSTAVO PARRA NORIEGA</w:t>
      </w:r>
      <w:r w:rsidR="00834348" w:rsidRPr="00834348">
        <w:rPr>
          <w:rFonts w:ascii="Palatino Linotype" w:hAnsi="Palatino Linotype" w:cs="Arial"/>
        </w:rPr>
        <w:t xml:space="preserve"> </w:t>
      </w:r>
      <w:r w:rsidRPr="0073286C">
        <w:rPr>
          <w:rFonts w:ascii="Palatino Linotype" w:hAnsi="Palatino Linotype" w:cs="Arial"/>
        </w:rPr>
        <w:t>emite</w:t>
      </w:r>
      <w:r w:rsidR="00B313DC">
        <w:rPr>
          <w:rFonts w:ascii="Palatino Linotype" w:hAnsi="Palatino Linotype" w:cs="Arial"/>
        </w:rPr>
        <w:t>n</w:t>
      </w:r>
      <w:r w:rsidRPr="0073286C">
        <w:rPr>
          <w:rFonts w:ascii="Palatino Linotype" w:hAnsi="Palatino Linotype" w:cs="Arial"/>
        </w:rPr>
        <w:t xml:space="preserve"> </w:t>
      </w:r>
      <w:r w:rsidRPr="0073286C">
        <w:rPr>
          <w:rFonts w:ascii="Palatino Linotype" w:hAnsi="Palatino Linotype" w:cs="Arial"/>
          <w:b/>
        </w:rPr>
        <w:t>VOTO PARTICULAR</w:t>
      </w:r>
      <w:r w:rsidR="00B313DC">
        <w:rPr>
          <w:rFonts w:ascii="Palatino Linotype" w:hAnsi="Palatino Linotype" w:cs="Arial"/>
          <w:b/>
        </w:rPr>
        <w:t xml:space="preserve"> CONCURRENTE</w:t>
      </w:r>
      <w:r w:rsidRPr="0073286C">
        <w:rPr>
          <w:rFonts w:ascii="Palatino Linotype" w:hAnsi="Palatino Linotype" w:cs="Arial"/>
          <w:b/>
        </w:rPr>
        <w:t xml:space="preserve"> </w:t>
      </w:r>
      <w:r w:rsidRPr="0073286C">
        <w:rPr>
          <w:rFonts w:ascii="Palatino Linotype" w:hAnsi="Palatino Linotype" w:cs="Arial"/>
        </w:rPr>
        <w:t xml:space="preserve">respecto de la resolución dictada en </w:t>
      </w:r>
      <w:r w:rsidR="00400547">
        <w:rPr>
          <w:rFonts w:ascii="Palatino Linotype" w:hAnsi="Palatino Linotype" w:cs="Arial"/>
        </w:rPr>
        <w:t>el</w:t>
      </w:r>
      <w:r>
        <w:rPr>
          <w:rFonts w:ascii="Palatino Linotype" w:hAnsi="Palatino Linotype" w:cs="Arial"/>
        </w:rPr>
        <w:t xml:space="preserve"> recurso de revisión </w:t>
      </w:r>
      <w:r>
        <w:rPr>
          <w:rFonts w:ascii="Palatino Linotype" w:hAnsi="Palatino Linotype" w:cs="Arial"/>
          <w:b/>
        </w:rPr>
        <w:t>0</w:t>
      </w:r>
      <w:r w:rsidR="002F0051">
        <w:rPr>
          <w:rFonts w:ascii="Palatino Linotype" w:hAnsi="Palatino Linotype" w:cs="Arial"/>
          <w:b/>
        </w:rPr>
        <w:t>3</w:t>
      </w:r>
      <w:r w:rsidR="00834348">
        <w:rPr>
          <w:rFonts w:ascii="Palatino Linotype" w:hAnsi="Palatino Linotype" w:cs="Arial"/>
          <w:b/>
        </w:rPr>
        <w:t>145</w:t>
      </w:r>
      <w:r w:rsidRPr="00AB7C5A">
        <w:rPr>
          <w:rFonts w:ascii="Palatino Linotype" w:hAnsi="Palatino Linotype" w:cs="Arial"/>
          <w:b/>
        </w:rPr>
        <w:t>/INFOEM/IP/RR/2018</w:t>
      </w:r>
      <w:r w:rsidRPr="0073286C">
        <w:rPr>
          <w:rFonts w:ascii="Palatino Linotype" w:hAnsi="Palatino Linotype" w:cs="Arial"/>
        </w:rPr>
        <w:t xml:space="preserve">, pronunciada por el Pleno de este Instituto ante el proyecto presentado por </w:t>
      </w:r>
      <w:r w:rsidR="00C46E75">
        <w:rPr>
          <w:rFonts w:ascii="Palatino Linotype" w:hAnsi="Palatino Linotype" w:cs="Arial"/>
        </w:rPr>
        <w:t>la</w:t>
      </w:r>
      <w:r w:rsidRPr="0073286C">
        <w:rPr>
          <w:rFonts w:ascii="Palatino Linotype" w:hAnsi="Palatino Linotype" w:cs="Arial"/>
        </w:rPr>
        <w:t xml:space="preserve"> Comisionad</w:t>
      </w:r>
      <w:r w:rsidR="00C46E75">
        <w:rPr>
          <w:rFonts w:ascii="Palatino Linotype" w:hAnsi="Palatino Linotype" w:cs="Arial"/>
        </w:rPr>
        <w:t xml:space="preserve">a Presidenta </w:t>
      </w:r>
      <w:r w:rsidR="00834348">
        <w:rPr>
          <w:rFonts w:ascii="Palatino Linotype" w:hAnsi="Palatino Linotype" w:cs="Arial"/>
          <w:b/>
        </w:rPr>
        <w:t>ZULEMA MARTÍNEZ SÁNCHEZ</w:t>
      </w:r>
      <w:r w:rsidRPr="0073286C">
        <w:rPr>
          <w:rFonts w:ascii="Palatino Linotype" w:hAnsi="Palatino Linotype" w:cs="Arial"/>
        </w:rPr>
        <w:t>, que es del tenor siguiente</w:t>
      </w:r>
      <w:r>
        <w:rPr>
          <w:rFonts w:ascii="Palatino Linotype" w:hAnsi="Palatino Linotype" w:cs="Arial"/>
        </w:rPr>
        <w:t>.</w:t>
      </w:r>
    </w:p>
    <w:p w:rsidR="006468C8" w:rsidRDefault="006468C8" w:rsidP="00385565">
      <w:pPr>
        <w:spacing w:line="360" w:lineRule="auto"/>
        <w:jc w:val="both"/>
        <w:rPr>
          <w:rFonts w:ascii="Palatino Linotype" w:hAnsi="Palatino Linotype" w:cs="Arial"/>
        </w:rPr>
      </w:pPr>
    </w:p>
    <w:p w:rsidR="00202921" w:rsidRDefault="00DF46B8" w:rsidP="00385565">
      <w:pPr>
        <w:spacing w:line="360" w:lineRule="auto"/>
        <w:jc w:val="both"/>
        <w:rPr>
          <w:rFonts w:ascii="Palatino Linotype" w:hAnsi="Palatino Linotype"/>
        </w:rPr>
      </w:pPr>
      <w:r>
        <w:rPr>
          <w:rFonts w:ascii="Palatino Linotype" w:hAnsi="Palatino Linotype"/>
        </w:rPr>
        <w:t>L</w:t>
      </w:r>
      <w:r w:rsidR="00C46E75">
        <w:rPr>
          <w:rFonts w:ascii="Palatino Linotype" w:hAnsi="Palatino Linotype"/>
        </w:rPr>
        <w:t>o</w:t>
      </w:r>
      <w:r w:rsidR="00B313DC">
        <w:rPr>
          <w:rFonts w:ascii="Palatino Linotype" w:hAnsi="Palatino Linotype"/>
        </w:rPr>
        <w:t>s</w:t>
      </w:r>
      <w:r w:rsidR="00C46E75">
        <w:rPr>
          <w:rFonts w:ascii="Palatino Linotype" w:hAnsi="Palatino Linotype"/>
        </w:rPr>
        <w:t xml:space="preserve"> suscrito</w:t>
      </w:r>
      <w:r w:rsidR="00B313DC">
        <w:rPr>
          <w:rFonts w:ascii="Palatino Linotype" w:hAnsi="Palatino Linotype"/>
        </w:rPr>
        <w:t>s</w:t>
      </w:r>
      <w:r w:rsidR="00202921" w:rsidRPr="0073286C">
        <w:rPr>
          <w:rFonts w:ascii="Palatino Linotype" w:hAnsi="Palatino Linotype"/>
        </w:rPr>
        <w:t xml:space="preserve"> </w:t>
      </w:r>
      <w:r w:rsidR="00202921">
        <w:rPr>
          <w:rFonts w:ascii="Palatino Linotype" w:hAnsi="Palatino Linotype"/>
        </w:rPr>
        <w:t>compart</w:t>
      </w:r>
      <w:r>
        <w:rPr>
          <w:rFonts w:ascii="Palatino Linotype" w:hAnsi="Palatino Linotype"/>
        </w:rPr>
        <w:t>imos</w:t>
      </w:r>
      <w:r w:rsidR="00202921">
        <w:rPr>
          <w:rFonts w:ascii="Palatino Linotype" w:hAnsi="Palatino Linotype"/>
        </w:rPr>
        <w:t xml:space="preserve"> esencialmente el sentido de la </w:t>
      </w:r>
      <w:r w:rsidR="00202921" w:rsidRPr="0073286C">
        <w:rPr>
          <w:rFonts w:ascii="Palatino Linotype" w:hAnsi="Palatino Linotype"/>
        </w:rPr>
        <w:t xml:space="preserve">resolución </w:t>
      </w:r>
      <w:r w:rsidR="00202921">
        <w:rPr>
          <w:rFonts w:ascii="Palatino Linotype" w:hAnsi="Palatino Linotype"/>
        </w:rPr>
        <w:t xml:space="preserve">del </w:t>
      </w:r>
      <w:r w:rsidR="00202921" w:rsidRPr="0073286C">
        <w:rPr>
          <w:rFonts w:ascii="Palatino Linotype" w:hAnsi="Palatino Linotype"/>
        </w:rPr>
        <w:t>recurs</w:t>
      </w:r>
      <w:r w:rsidR="00202921">
        <w:rPr>
          <w:rFonts w:ascii="Palatino Linotype" w:hAnsi="Palatino Linotype"/>
        </w:rPr>
        <w:t>o de revisión; empero, estim</w:t>
      </w:r>
      <w:r>
        <w:rPr>
          <w:rFonts w:ascii="Palatino Linotype" w:hAnsi="Palatino Linotype"/>
        </w:rPr>
        <w:t>amos</w:t>
      </w:r>
      <w:r w:rsidR="00202921" w:rsidRPr="0073286C">
        <w:rPr>
          <w:rFonts w:ascii="Palatino Linotype" w:hAnsi="Palatino Linotype"/>
        </w:rPr>
        <w:t xml:space="preserve"> necesario precisar algunas consideraciones de hecho y de derecho, tocante a</w:t>
      </w:r>
      <w:r w:rsidR="00202921">
        <w:rPr>
          <w:rFonts w:ascii="Palatino Linotype" w:hAnsi="Palatino Linotype"/>
        </w:rPr>
        <w:t xml:space="preserve"> parte de </w:t>
      </w:r>
      <w:r w:rsidR="00202921" w:rsidRPr="0073286C">
        <w:rPr>
          <w:rFonts w:ascii="Palatino Linotype" w:hAnsi="Palatino Linotype"/>
        </w:rPr>
        <w:t>l</w:t>
      </w:r>
      <w:r w:rsidR="00202921">
        <w:rPr>
          <w:rFonts w:ascii="Palatino Linotype" w:hAnsi="Palatino Linotype"/>
        </w:rPr>
        <w:t>o que se ordena.</w:t>
      </w:r>
    </w:p>
    <w:p w:rsidR="006468C8" w:rsidRDefault="006468C8" w:rsidP="00385565">
      <w:pPr>
        <w:spacing w:line="360" w:lineRule="auto"/>
        <w:jc w:val="both"/>
        <w:rPr>
          <w:rFonts w:ascii="Palatino Linotype" w:hAnsi="Palatino Linotype"/>
        </w:rPr>
      </w:pPr>
    </w:p>
    <w:p w:rsidR="00C46E75" w:rsidRDefault="00202921" w:rsidP="00385565">
      <w:pPr>
        <w:spacing w:line="360" w:lineRule="auto"/>
        <w:jc w:val="both"/>
        <w:rPr>
          <w:rFonts w:ascii="Palatino Linotype" w:hAnsi="Palatino Linotype"/>
        </w:rPr>
      </w:pPr>
      <w:r w:rsidRPr="0073286C">
        <w:rPr>
          <w:rFonts w:ascii="Palatino Linotype" w:hAnsi="Palatino Linotype"/>
        </w:rPr>
        <w:t>Al respecto, tal y como quedó debidamente asentado en la resolución materia del presente voto, el particular requirió del</w:t>
      </w:r>
      <w:r>
        <w:rPr>
          <w:rFonts w:ascii="Palatino Linotype" w:hAnsi="Palatino Linotype"/>
        </w:rPr>
        <w:t xml:space="preserve"> </w:t>
      </w:r>
      <w:r w:rsidR="00C46E75" w:rsidRPr="00C46E75">
        <w:rPr>
          <w:rFonts w:ascii="Palatino Linotype" w:hAnsi="Palatino Linotype"/>
        </w:rPr>
        <w:t>Ayuntamiento de Naucalpan de Juárez</w:t>
      </w:r>
      <w:r>
        <w:rPr>
          <w:rFonts w:ascii="Palatino Linotype" w:hAnsi="Palatino Linotype"/>
        </w:rPr>
        <w:t xml:space="preserve">, en lo sucesivo </w:t>
      </w:r>
      <w:r w:rsidR="00B313DC">
        <w:rPr>
          <w:rFonts w:ascii="Palatino Linotype" w:hAnsi="Palatino Linotype"/>
          <w:b/>
        </w:rPr>
        <w:t xml:space="preserve">EL </w:t>
      </w:r>
      <w:r w:rsidRPr="0073286C">
        <w:rPr>
          <w:rFonts w:ascii="Palatino Linotype" w:hAnsi="Palatino Linotype"/>
          <w:b/>
        </w:rPr>
        <w:t>SUJETO OBLIGADO</w:t>
      </w:r>
      <w:r w:rsidR="00C46E75">
        <w:rPr>
          <w:rFonts w:ascii="Palatino Linotype" w:hAnsi="Palatino Linotype"/>
        </w:rPr>
        <w:t>, los Inventarios de Bienes Muebles e Inmuebles que se hayan realizado durante las Administración Pública Municipal 2013-2015, así como los correspondientes a la 2016-20</w:t>
      </w:r>
      <w:r w:rsidR="00DF46B8">
        <w:rPr>
          <w:rFonts w:ascii="Palatino Linotype" w:hAnsi="Palatino Linotype"/>
        </w:rPr>
        <w:t>1</w:t>
      </w:r>
      <w:r w:rsidR="00C46E75">
        <w:rPr>
          <w:rFonts w:ascii="Palatino Linotype" w:hAnsi="Palatino Linotype"/>
        </w:rPr>
        <w:t>8.</w:t>
      </w:r>
    </w:p>
    <w:p w:rsidR="00C46E75" w:rsidRDefault="00C46E75" w:rsidP="00385565">
      <w:pPr>
        <w:spacing w:line="360" w:lineRule="auto"/>
        <w:jc w:val="both"/>
        <w:rPr>
          <w:rFonts w:ascii="Palatino Linotype" w:hAnsi="Palatino Linotype"/>
        </w:rPr>
      </w:pPr>
    </w:p>
    <w:p w:rsidR="00BF1B29" w:rsidRDefault="00202921" w:rsidP="00385565">
      <w:pPr>
        <w:spacing w:line="360" w:lineRule="auto"/>
        <w:jc w:val="both"/>
        <w:rPr>
          <w:rFonts w:ascii="Palatino Linotype" w:hAnsi="Palatino Linotype"/>
        </w:rPr>
      </w:pPr>
      <w:r w:rsidRPr="0073286C">
        <w:rPr>
          <w:rFonts w:ascii="Palatino Linotype" w:hAnsi="Palatino Linotype" w:cs="Arial"/>
        </w:rPr>
        <w:t>De las constancias que obran dentro del expediente electrónico</w:t>
      </w:r>
      <w:r>
        <w:rPr>
          <w:rFonts w:ascii="Palatino Linotype" w:hAnsi="Palatino Linotype" w:cs="Arial"/>
        </w:rPr>
        <w:t xml:space="preserve"> del</w:t>
      </w:r>
      <w:r w:rsidRPr="0073286C">
        <w:rPr>
          <w:rFonts w:ascii="Palatino Linotype" w:hAnsi="Palatino Linotype" w:cs="Arial"/>
        </w:rPr>
        <w:t xml:space="preserve"> </w:t>
      </w:r>
      <w:r w:rsidRPr="0073286C">
        <w:rPr>
          <w:rFonts w:ascii="Palatino Linotype" w:hAnsi="Palatino Linotype" w:cs="Arial"/>
          <w:b/>
        </w:rPr>
        <w:t>SAIMEX,</w:t>
      </w:r>
      <w:r w:rsidRPr="0073286C">
        <w:rPr>
          <w:rFonts w:ascii="Palatino Linotype" w:hAnsi="Palatino Linotype" w:cs="Arial"/>
        </w:rPr>
        <w:t xml:space="preserve"> </w:t>
      </w:r>
      <w:r>
        <w:rPr>
          <w:rFonts w:ascii="Palatino Linotype" w:hAnsi="Palatino Linotype" w:cs="Arial"/>
        </w:rPr>
        <w:t xml:space="preserve">se advirtió </w:t>
      </w:r>
      <w:r w:rsidRPr="0073286C">
        <w:rPr>
          <w:rFonts w:ascii="Palatino Linotype" w:hAnsi="Palatino Linotype" w:cs="Arial"/>
        </w:rPr>
        <w:t xml:space="preserve">que </w:t>
      </w:r>
      <w:r w:rsidRPr="0073286C">
        <w:rPr>
          <w:rFonts w:ascii="Palatino Linotype" w:hAnsi="Palatino Linotype" w:cs="Arial"/>
          <w:b/>
        </w:rPr>
        <w:t xml:space="preserve">EL SUJETO OBLIGADO, </w:t>
      </w:r>
      <w:r w:rsidRPr="0073286C">
        <w:rPr>
          <w:rFonts w:ascii="Palatino Linotype" w:hAnsi="Palatino Linotype" w:cs="Arial"/>
        </w:rPr>
        <w:t>en respuesta</w:t>
      </w:r>
      <w:r>
        <w:rPr>
          <w:rFonts w:ascii="Palatino Linotype" w:hAnsi="Palatino Linotype" w:cs="Arial"/>
        </w:rPr>
        <w:t xml:space="preserve"> </w:t>
      </w:r>
      <w:r w:rsidR="000F0BC5">
        <w:rPr>
          <w:rFonts w:ascii="Palatino Linotype" w:hAnsi="Palatino Linotype" w:cs="Arial"/>
        </w:rPr>
        <w:t xml:space="preserve">a la solicitud de información </w:t>
      </w:r>
      <w:r w:rsidR="00C46E75" w:rsidRPr="00C46E75">
        <w:rPr>
          <w:rFonts w:ascii="Palatino Linotype" w:hAnsi="Palatino Linotype"/>
          <w:b/>
          <w:bCs/>
        </w:rPr>
        <w:t>00387/NAUCALPA/IP/2018</w:t>
      </w:r>
      <w:r w:rsidR="00C46E75">
        <w:rPr>
          <w:rFonts w:ascii="Palatino Linotype" w:hAnsi="Palatino Linotype"/>
          <w:b/>
          <w:bCs/>
        </w:rPr>
        <w:t xml:space="preserve"> </w:t>
      </w:r>
      <w:r w:rsidR="00C46E75">
        <w:rPr>
          <w:rFonts w:ascii="Palatino Linotype" w:hAnsi="Palatino Linotype"/>
          <w:bCs/>
        </w:rPr>
        <w:t xml:space="preserve">se pronunció respecto de la </w:t>
      </w:r>
      <w:r w:rsidR="00BF1B29">
        <w:rPr>
          <w:rFonts w:ascii="Palatino Linotype" w:hAnsi="Palatino Linotype"/>
          <w:bCs/>
        </w:rPr>
        <w:t>información</w:t>
      </w:r>
      <w:r w:rsidR="00C46E75">
        <w:rPr>
          <w:rFonts w:ascii="Palatino Linotype" w:hAnsi="Palatino Linotype"/>
          <w:bCs/>
        </w:rPr>
        <w:t xml:space="preserve"> requerida, proporcionando diversos documentos con los cuales pretendía colmar el dere</w:t>
      </w:r>
      <w:r w:rsidR="00BF1B29">
        <w:rPr>
          <w:rFonts w:ascii="Palatino Linotype" w:hAnsi="Palatino Linotype"/>
          <w:bCs/>
        </w:rPr>
        <w:t>c</w:t>
      </w:r>
      <w:r w:rsidR="00C46E75">
        <w:rPr>
          <w:rFonts w:ascii="Palatino Linotype" w:hAnsi="Palatino Linotype"/>
          <w:bCs/>
        </w:rPr>
        <w:t xml:space="preserve">ho de acceso a la </w:t>
      </w:r>
      <w:r w:rsidR="00BF1B29">
        <w:rPr>
          <w:rFonts w:ascii="Palatino Linotype" w:hAnsi="Palatino Linotype"/>
          <w:bCs/>
        </w:rPr>
        <w:t>información</w:t>
      </w:r>
      <w:r w:rsidR="00C46E75">
        <w:rPr>
          <w:rFonts w:ascii="Palatino Linotype" w:hAnsi="Palatino Linotype"/>
          <w:bCs/>
        </w:rPr>
        <w:t xml:space="preserve"> p</w:t>
      </w:r>
      <w:r w:rsidR="00BF1B29">
        <w:rPr>
          <w:rFonts w:ascii="Palatino Linotype" w:hAnsi="Palatino Linotype"/>
          <w:bCs/>
        </w:rPr>
        <w:t xml:space="preserve">ública del ciudadano; sin embargo, </w:t>
      </w:r>
      <w:r w:rsidR="00DF46B8">
        <w:rPr>
          <w:rFonts w:ascii="Palatino Linotype" w:hAnsi="Palatino Linotype"/>
          <w:bCs/>
        </w:rPr>
        <w:t>e</w:t>
      </w:r>
      <w:r w:rsidR="00BF1B29">
        <w:rPr>
          <w:rFonts w:ascii="Palatino Linotype" w:hAnsi="Palatino Linotype"/>
          <w:bCs/>
        </w:rPr>
        <w:t>ste i</w:t>
      </w:r>
      <w:r w:rsidR="00177727">
        <w:rPr>
          <w:rFonts w:ascii="Palatino Linotype" w:hAnsi="Palatino Linotype"/>
        </w:rPr>
        <w:t xml:space="preserve">nconforme con </w:t>
      </w:r>
      <w:r w:rsidR="004E606A">
        <w:rPr>
          <w:rFonts w:ascii="Palatino Linotype" w:hAnsi="Palatino Linotype"/>
        </w:rPr>
        <w:t>la respuesta</w:t>
      </w:r>
      <w:r w:rsidR="00563561">
        <w:rPr>
          <w:rFonts w:ascii="Palatino Linotype" w:hAnsi="Palatino Linotype"/>
        </w:rPr>
        <w:t xml:space="preserve"> otorgada por </w:t>
      </w:r>
      <w:r w:rsidR="00563561">
        <w:rPr>
          <w:rFonts w:ascii="Palatino Linotype" w:hAnsi="Palatino Linotype"/>
          <w:b/>
        </w:rPr>
        <w:t>EL SUJETO OBLIGADO</w:t>
      </w:r>
      <w:r w:rsidR="00BF1B29">
        <w:rPr>
          <w:rFonts w:ascii="Palatino Linotype" w:hAnsi="Palatino Linotype"/>
        </w:rPr>
        <w:t>,</w:t>
      </w:r>
      <w:r w:rsidR="00563561">
        <w:rPr>
          <w:rFonts w:ascii="Palatino Linotype" w:hAnsi="Palatino Linotype"/>
        </w:rPr>
        <w:t xml:space="preserve"> interpuso </w:t>
      </w:r>
      <w:r w:rsidR="004E606A">
        <w:rPr>
          <w:rFonts w:ascii="Palatino Linotype" w:hAnsi="Palatino Linotype"/>
        </w:rPr>
        <w:t>el</w:t>
      </w:r>
      <w:r w:rsidR="00563561">
        <w:rPr>
          <w:rFonts w:ascii="Palatino Linotype" w:hAnsi="Palatino Linotype"/>
        </w:rPr>
        <w:t xml:space="preserve"> recurso</w:t>
      </w:r>
      <w:r w:rsidR="004E606A">
        <w:rPr>
          <w:rFonts w:ascii="Palatino Linotype" w:hAnsi="Palatino Linotype"/>
        </w:rPr>
        <w:t xml:space="preserve"> de revisión de mérito, </w:t>
      </w:r>
      <w:r w:rsidR="00DF46B8">
        <w:rPr>
          <w:rFonts w:ascii="Palatino Linotype" w:hAnsi="Palatino Linotype"/>
        </w:rPr>
        <w:t>en el que se estableció</w:t>
      </w:r>
      <w:r w:rsidR="002C1CC6">
        <w:rPr>
          <w:rFonts w:ascii="Palatino Linotype" w:hAnsi="Palatino Linotype"/>
        </w:rPr>
        <w:t xml:space="preserve"> precisamente de la </w:t>
      </w:r>
      <w:r w:rsidR="00BF1B29">
        <w:rPr>
          <w:rFonts w:ascii="Palatino Linotype" w:hAnsi="Palatino Linotype"/>
        </w:rPr>
        <w:t>ent</w:t>
      </w:r>
      <w:r w:rsidR="00DF46B8">
        <w:rPr>
          <w:rFonts w:ascii="Palatino Linotype" w:hAnsi="Palatino Linotype"/>
        </w:rPr>
        <w:t xml:space="preserve">rega de información incompleta y </w:t>
      </w:r>
      <w:r w:rsidR="00BF1B29">
        <w:rPr>
          <w:rFonts w:ascii="Palatino Linotype" w:hAnsi="Palatino Linotype"/>
        </w:rPr>
        <w:t>realiz</w:t>
      </w:r>
      <w:r w:rsidR="00DF46B8">
        <w:rPr>
          <w:rFonts w:ascii="Palatino Linotype" w:hAnsi="Palatino Linotype"/>
        </w:rPr>
        <w:t>ó</w:t>
      </w:r>
      <w:r w:rsidR="00BF1B29">
        <w:rPr>
          <w:rFonts w:ascii="Palatino Linotype" w:hAnsi="Palatino Linotype"/>
        </w:rPr>
        <w:t xml:space="preserve"> una serie de manifestaciones subjetivas y apreciaciones personales</w:t>
      </w:r>
      <w:r w:rsidR="00DF46B8">
        <w:rPr>
          <w:rFonts w:ascii="Palatino Linotype" w:hAnsi="Palatino Linotype"/>
        </w:rPr>
        <w:t>.</w:t>
      </w:r>
    </w:p>
    <w:p w:rsidR="006468C8" w:rsidRDefault="00BF1B29" w:rsidP="00385565">
      <w:pPr>
        <w:spacing w:line="360" w:lineRule="auto"/>
        <w:jc w:val="both"/>
        <w:rPr>
          <w:rFonts w:ascii="Palatino Linotype" w:hAnsi="Palatino Linotype"/>
        </w:rPr>
      </w:pPr>
      <w:r>
        <w:rPr>
          <w:rFonts w:ascii="Palatino Linotype" w:hAnsi="Palatino Linotype"/>
        </w:rPr>
        <w:t xml:space="preserve"> </w:t>
      </w:r>
    </w:p>
    <w:p w:rsidR="00222326" w:rsidRDefault="000F0BC5" w:rsidP="00222326">
      <w:pPr>
        <w:spacing w:line="360" w:lineRule="auto"/>
        <w:jc w:val="both"/>
        <w:rPr>
          <w:rFonts w:ascii="Palatino Linotype" w:hAnsi="Palatino Linotype" w:cs="Arial"/>
        </w:rPr>
      </w:pPr>
      <w:r w:rsidRPr="0073286C">
        <w:rPr>
          <w:rFonts w:ascii="Palatino Linotype" w:hAnsi="Palatino Linotype" w:cs="Arial"/>
        </w:rPr>
        <w:t xml:space="preserve">Atento a lo anterior, la Ponencia Resolutora determinó </w:t>
      </w:r>
      <w:r w:rsidR="00BF1B29">
        <w:rPr>
          <w:rFonts w:ascii="Palatino Linotype" w:hAnsi="Palatino Linotype" w:cs="Arial"/>
          <w:b/>
        </w:rPr>
        <w:t>MODIFICAR</w:t>
      </w:r>
      <w:r w:rsidRPr="0073286C">
        <w:rPr>
          <w:rFonts w:ascii="Palatino Linotype" w:hAnsi="Palatino Linotype" w:cs="Arial"/>
          <w:b/>
        </w:rPr>
        <w:t xml:space="preserve"> </w:t>
      </w:r>
      <w:r w:rsidRPr="0073286C">
        <w:rPr>
          <w:rFonts w:ascii="Palatino Linotype" w:hAnsi="Palatino Linotype" w:cs="Arial"/>
        </w:rPr>
        <w:t>la respuesta del</w:t>
      </w:r>
      <w:r w:rsidRPr="0073286C">
        <w:rPr>
          <w:rFonts w:ascii="Palatino Linotype" w:hAnsi="Palatino Linotype" w:cs="Arial"/>
          <w:b/>
        </w:rPr>
        <w:t xml:space="preserve"> SUJETO OBLIGADO </w:t>
      </w:r>
      <w:r w:rsidR="006468C8">
        <w:rPr>
          <w:rFonts w:ascii="Palatino Linotype" w:hAnsi="Palatino Linotype" w:cs="Arial"/>
        </w:rPr>
        <w:t>ordenándole</w:t>
      </w:r>
      <w:r w:rsidR="00563561">
        <w:rPr>
          <w:rFonts w:ascii="Palatino Linotype" w:hAnsi="Palatino Linotype" w:cs="Arial"/>
        </w:rPr>
        <w:t xml:space="preserve"> </w:t>
      </w:r>
      <w:r w:rsidR="00222326" w:rsidRPr="00222326">
        <w:rPr>
          <w:rFonts w:ascii="Palatino Linotype" w:hAnsi="Palatino Linotype" w:cs="Arial"/>
        </w:rPr>
        <w:t xml:space="preserve">entregar en versión pública, </w:t>
      </w:r>
      <w:r w:rsidR="00222326">
        <w:rPr>
          <w:rFonts w:ascii="Palatino Linotype" w:hAnsi="Palatino Linotype" w:cs="Arial"/>
        </w:rPr>
        <w:t>de lo</w:t>
      </w:r>
      <w:r w:rsidR="00222326" w:rsidRPr="00222326">
        <w:rPr>
          <w:rFonts w:ascii="Palatino Linotype" w:hAnsi="Palatino Linotype" w:cs="Arial"/>
        </w:rPr>
        <w:t xml:space="preserve"> siguiente:</w:t>
      </w:r>
    </w:p>
    <w:p w:rsidR="00222326" w:rsidRPr="00222326" w:rsidRDefault="00222326" w:rsidP="00222326">
      <w:pPr>
        <w:spacing w:line="360" w:lineRule="auto"/>
        <w:jc w:val="both"/>
        <w:rPr>
          <w:rFonts w:ascii="Palatino Linotype" w:hAnsi="Palatino Linotype" w:cs="Arial"/>
        </w:rPr>
      </w:pPr>
    </w:p>
    <w:p w:rsidR="00DC12D0" w:rsidRDefault="00DC12D0" w:rsidP="00DC12D0">
      <w:pPr>
        <w:pStyle w:val="Prrafodelista"/>
        <w:numPr>
          <w:ilvl w:val="0"/>
          <w:numId w:val="7"/>
        </w:numPr>
        <w:ind w:left="993" w:right="992" w:hanging="284"/>
        <w:jc w:val="both"/>
        <w:rPr>
          <w:rFonts w:ascii="Palatino Linotype" w:hAnsi="Palatino Linotype" w:cs="Arial"/>
          <w:i/>
          <w:sz w:val="22"/>
        </w:rPr>
      </w:pPr>
      <w:r w:rsidRPr="00DC12D0">
        <w:rPr>
          <w:rFonts w:ascii="Palatino Linotype" w:hAnsi="Palatino Linotype" w:cs="Arial"/>
          <w:i/>
          <w:sz w:val="22"/>
        </w:rPr>
        <w:t>Los inventarios de bienes inmuebles del primero y segundo semestre de los años 2013 al 2017 y el correspondiente al primer semestre del año 2018.</w:t>
      </w:r>
    </w:p>
    <w:p w:rsidR="00DC12D0" w:rsidRDefault="00DC12D0" w:rsidP="00DC12D0">
      <w:pPr>
        <w:pStyle w:val="Prrafodelista"/>
        <w:ind w:left="993" w:right="992"/>
        <w:jc w:val="both"/>
        <w:rPr>
          <w:rFonts w:ascii="Palatino Linotype" w:hAnsi="Palatino Linotype" w:cs="Arial"/>
          <w:i/>
          <w:sz w:val="22"/>
        </w:rPr>
      </w:pPr>
    </w:p>
    <w:p w:rsidR="00DC12D0" w:rsidRDefault="00DC12D0" w:rsidP="00DC12D0">
      <w:pPr>
        <w:pStyle w:val="Prrafodelista"/>
        <w:numPr>
          <w:ilvl w:val="0"/>
          <w:numId w:val="7"/>
        </w:numPr>
        <w:ind w:left="993" w:right="992" w:hanging="284"/>
        <w:jc w:val="both"/>
        <w:rPr>
          <w:rFonts w:ascii="Palatino Linotype" w:hAnsi="Palatino Linotype" w:cs="Arial"/>
          <w:i/>
          <w:sz w:val="22"/>
        </w:rPr>
      </w:pPr>
      <w:r w:rsidRPr="00DC12D0">
        <w:rPr>
          <w:rFonts w:ascii="Palatino Linotype" w:hAnsi="Palatino Linotype" w:cs="Arial"/>
          <w:i/>
          <w:sz w:val="22"/>
        </w:rPr>
        <w:lastRenderedPageBreak/>
        <w:t xml:space="preserve">Los inventarios de bienes muebles de bajo costo, del primero y segundo semestre de los años 2013, 2014, 2016 y 2017; y, los del primer semestre de los años 2015 y 2018. </w:t>
      </w:r>
    </w:p>
    <w:p w:rsidR="00DC12D0" w:rsidRPr="00DC12D0" w:rsidRDefault="00DC12D0" w:rsidP="00DC12D0">
      <w:pPr>
        <w:pStyle w:val="Prrafodelista"/>
        <w:numPr>
          <w:ilvl w:val="0"/>
          <w:numId w:val="7"/>
        </w:numPr>
        <w:ind w:left="993" w:right="992" w:hanging="284"/>
        <w:jc w:val="both"/>
        <w:rPr>
          <w:rFonts w:ascii="Palatino Linotype" w:hAnsi="Palatino Linotype" w:cs="Arial"/>
          <w:i/>
          <w:sz w:val="22"/>
        </w:rPr>
      </w:pPr>
      <w:r w:rsidRPr="00DC12D0">
        <w:rPr>
          <w:rFonts w:ascii="Palatino Linotype" w:hAnsi="Palatino Linotype" w:cs="Arial"/>
          <w:i/>
          <w:sz w:val="22"/>
        </w:rPr>
        <w:t>Los inventarios generales de bienes muebles del primero y segundo semestre de los años 2013 al 2017 y el correspondiente al primer semestre del año 2018.</w:t>
      </w:r>
    </w:p>
    <w:p w:rsidR="006468C8" w:rsidRPr="00563561" w:rsidRDefault="006468C8" w:rsidP="00222326">
      <w:pPr>
        <w:spacing w:line="360" w:lineRule="auto"/>
        <w:ind w:left="1134" w:right="992"/>
        <w:jc w:val="both"/>
        <w:rPr>
          <w:rFonts w:ascii="Palatino Linotype" w:eastAsia="Calibri" w:hAnsi="Palatino Linotype" w:cs="Arial"/>
          <w:bCs/>
          <w:i/>
          <w:sz w:val="22"/>
          <w:szCs w:val="22"/>
        </w:rPr>
      </w:pPr>
    </w:p>
    <w:p w:rsidR="00B63948" w:rsidRDefault="00717A14" w:rsidP="00DC12D0">
      <w:pPr>
        <w:spacing w:line="360" w:lineRule="auto"/>
        <w:jc w:val="both"/>
        <w:rPr>
          <w:rFonts w:ascii="Palatino Linotype" w:hAnsi="Palatino Linotype" w:cs="Arial"/>
          <w:lang w:val="es-MX"/>
        </w:rPr>
      </w:pPr>
      <w:r>
        <w:rPr>
          <w:rFonts w:ascii="Palatino Linotype" w:hAnsi="Palatino Linotype" w:cs="Arial"/>
          <w:lang w:val="es-MX"/>
        </w:rPr>
        <w:t>En ese sentido, l</w:t>
      </w:r>
      <w:r w:rsidR="00DC12D0">
        <w:rPr>
          <w:rFonts w:ascii="Palatino Linotype" w:hAnsi="Palatino Linotype" w:cs="Arial"/>
          <w:lang w:val="es-MX"/>
        </w:rPr>
        <w:t>os</w:t>
      </w:r>
      <w:r>
        <w:rPr>
          <w:rFonts w:ascii="Palatino Linotype" w:hAnsi="Palatino Linotype" w:cs="Arial"/>
          <w:lang w:val="es-MX"/>
        </w:rPr>
        <w:t xml:space="preserve"> que suscri</w:t>
      </w:r>
      <w:r w:rsidR="00DC12D0">
        <w:rPr>
          <w:rFonts w:ascii="Palatino Linotype" w:hAnsi="Palatino Linotype" w:cs="Arial"/>
          <w:lang w:val="es-MX"/>
        </w:rPr>
        <w:t xml:space="preserve">ben </w:t>
      </w:r>
      <w:r w:rsidR="00202921" w:rsidRPr="0073286C">
        <w:rPr>
          <w:rFonts w:ascii="Palatino Linotype" w:hAnsi="Palatino Linotype" w:cs="Arial"/>
          <w:lang w:val="es-MX"/>
        </w:rPr>
        <w:t>reitera</w:t>
      </w:r>
      <w:r w:rsidR="00DC12D0">
        <w:rPr>
          <w:rFonts w:ascii="Palatino Linotype" w:hAnsi="Palatino Linotype" w:cs="Arial"/>
          <w:lang w:val="es-MX"/>
        </w:rPr>
        <w:t>n</w:t>
      </w:r>
      <w:r w:rsidR="00202921" w:rsidRPr="0073286C">
        <w:rPr>
          <w:rFonts w:ascii="Palatino Linotype" w:hAnsi="Palatino Linotype" w:cs="Arial"/>
          <w:lang w:val="es-MX"/>
        </w:rPr>
        <w:t xml:space="preserve">, </w:t>
      </w:r>
      <w:r w:rsidR="00DC12D0" w:rsidRPr="00DC12D0">
        <w:rPr>
          <w:rFonts w:ascii="Palatino Linotype" w:hAnsi="Palatino Linotype" w:cs="Arial"/>
          <w:lang w:val="es-MX"/>
        </w:rPr>
        <w:t>que si bien coincide</w:t>
      </w:r>
      <w:r w:rsidR="00DF46B8">
        <w:rPr>
          <w:rFonts w:ascii="Palatino Linotype" w:hAnsi="Palatino Linotype" w:cs="Arial"/>
          <w:lang w:val="es-MX"/>
        </w:rPr>
        <w:t>n</w:t>
      </w:r>
      <w:r w:rsidR="00DC12D0" w:rsidRPr="00DC12D0">
        <w:rPr>
          <w:rFonts w:ascii="Palatino Linotype" w:hAnsi="Palatino Linotype" w:cs="Arial"/>
          <w:lang w:val="es-MX"/>
        </w:rPr>
        <w:t xml:space="preserve"> en términos generales con el sentido de la resolución en comento, estim</w:t>
      </w:r>
      <w:r w:rsidR="00DC12D0">
        <w:rPr>
          <w:rFonts w:ascii="Palatino Linotype" w:hAnsi="Palatino Linotype" w:cs="Arial"/>
          <w:lang w:val="es-MX"/>
        </w:rPr>
        <w:t>amos</w:t>
      </w:r>
      <w:r w:rsidR="00DC12D0" w:rsidRPr="00DC12D0">
        <w:rPr>
          <w:rFonts w:ascii="Palatino Linotype" w:hAnsi="Palatino Linotype" w:cs="Arial"/>
          <w:lang w:val="es-MX"/>
        </w:rPr>
        <w:t xml:space="preserve"> necesario precisar que en cuanto hace al pronunciamiento por parte de la Ponencia Resolutora en el que señala que para la elaboración de la versión pública que realice </w:t>
      </w:r>
      <w:r w:rsidR="00DC12D0" w:rsidRPr="00DC12D0">
        <w:rPr>
          <w:rFonts w:ascii="Palatino Linotype" w:hAnsi="Palatino Linotype" w:cs="Arial"/>
          <w:b/>
          <w:lang w:val="es-MX"/>
        </w:rPr>
        <w:t xml:space="preserve">EL SUJETO OBLIGADO </w:t>
      </w:r>
      <w:r w:rsidR="00DC12D0" w:rsidRPr="00DC12D0">
        <w:rPr>
          <w:rFonts w:ascii="Palatino Linotype" w:hAnsi="Palatino Linotype" w:cs="Arial"/>
          <w:lang w:val="es-MX"/>
        </w:rPr>
        <w:t xml:space="preserve">respecto de la información </w:t>
      </w:r>
      <w:r w:rsidR="00DF46B8">
        <w:rPr>
          <w:rFonts w:ascii="Palatino Linotype" w:hAnsi="Palatino Linotype" w:cs="Arial"/>
          <w:lang w:val="es-MX"/>
        </w:rPr>
        <w:t xml:space="preserve">de la </w:t>
      </w:r>
      <w:r w:rsidR="00DC12D0" w:rsidRPr="00DC12D0">
        <w:rPr>
          <w:rFonts w:ascii="Palatino Linotype" w:hAnsi="Palatino Linotype" w:cs="Arial"/>
          <w:lang w:val="es-MX"/>
        </w:rPr>
        <w:t xml:space="preserve">que </w:t>
      </w:r>
      <w:r w:rsidR="00DF46B8">
        <w:rPr>
          <w:rFonts w:ascii="Palatino Linotype" w:hAnsi="Palatino Linotype" w:cs="Arial"/>
          <w:lang w:val="es-MX"/>
        </w:rPr>
        <w:t xml:space="preserve">se </w:t>
      </w:r>
      <w:r w:rsidR="00DC12D0" w:rsidRPr="00DC12D0">
        <w:rPr>
          <w:rFonts w:ascii="Palatino Linotype" w:hAnsi="Palatino Linotype" w:cs="Arial"/>
          <w:lang w:val="es-MX"/>
        </w:rPr>
        <w:t xml:space="preserve">ordena </w:t>
      </w:r>
      <w:r w:rsidR="00DF46B8">
        <w:rPr>
          <w:rFonts w:ascii="Palatino Linotype" w:hAnsi="Palatino Linotype" w:cs="Arial"/>
          <w:lang w:val="es-MX"/>
        </w:rPr>
        <w:t>la entrega, e</w:t>
      </w:r>
      <w:r w:rsidR="00DC12D0" w:rsidRPr="00DC12D0">
        <w:rPr>
          <w:rFonts w:ascii="Palatino Linotype" w:hAnsi="Palatino Linotype" w:cs="Arial"/>
          <w:lang w:val="es-MX"/>
        </w:rPr>
        <w:t xml:space="preserve">ste deberá </w:t>
      </w:r>
      <w:r w:rsidR="00DC12D0">
        <w:rPr>
          <w:rFonts w:ascii="Palatino Linotype" w:hAnsi="Palatino Linotype" w:cs="Arial"/>
          <w:lang w:val="es-MX"/>
        </w:rPr>
        <w:t>testar</w:t>
      </w:r>
      <w:r w:rsidR="00DC12D0" w:rsidRPr="00DC12D0">
        <w:rPr>
          <w:rFonts w:ascii="Palatino Linotype" w:hAnsi="Palatino Linotype" w:cs="Arial"/>
          <w:lang w:val="es-MX"/>
        </w:rPr>
        <w:t xml:space="preserve"> </w:t>
      </w:r>
      <w:r w:rsidR="00383A93">
        <w:rPr>
          <w:rFonts w:ascii="Palatino Linotype" w:hAnsi="Palatino Linotype" w:cs="Arial"/>
          <w:lang w:val="es-MX"/>
        </w:rPr>
        <w:t xml:space="preserve">los </w:t>
      </w:r>
      <w:r w:rsidR="00383A93" w:rsidRPr="00383A93">
        <w:rPr>
          <w:rFonts w:ascii="Palatino Linotype" w:hAnsi="Palatino Linotype" w:cs="Arial"/>
          <w:lang w:val="es-MX"/>
        </w:rPr>
        <w:t>números de serie de los vehículos o</w:t>
      </w:r>
      <w:r w:rsidR="00DF46B8">
        <w:rPr>
          <w:rFonts w:ascii="Palatino Linotype" w:hAnsi="Palatino Linotype" w:cs="Arial"/>
          <w:lang w:val="es-MX"/>
        </w:rPr>
        <w:t>ficiales que tienen asignados lo</w:t>
      </w:r>
      <w:r w:rsidR="00383A93" w:rsidRPr="00383A93">
        <w:rPr>
          <w:rFonts w:ascii="Palatino Linotype" w:hAnsi="Palatino Linotype" w:cs="Arial"/>
          <w:lang w:val="es-MX"/>
        </w:rPr>
        <w:t>s distintos servidores públicos</w:t>
      </w:r>
      <w:r w:rsidR="00DC12D0" w:rsidRPr="00DC12D0">
        <w:rPr>
          <w:rFonts w:ascii="Palatino Linotype" w:hAnsi="Palatino Linotype" w:cs="Arial"/>
          <w:lang w:val="es-MX"/>
        </w:rPr>
        <w:t xml:space="preserve">; pues a su criterio, </w:t>
      </w:r>
      <w:r w:rsidR="00DF46B8">
        <w:rPr>
          <w:rFonts w:ascii="Palatino Linotype" w:hAnsi="Palatino Linotype" w:cs="Arial"/>
          <w:lang w:val="es-MX"/>
        </w:rPr>
        <w:t xml:space="preserve">su publicidad </w:t>
      </w:r>
      <w:r w:rsidR="00383A93" w:rsidRPr="00383A93">
        <w:rPr>
          <w:rFonts w:ascii="Palatino Linotype" w:hAnsi="Palatino Linotype" w:cs="Arial"/>
          <w:lang w:val="es-MX"/>
        </w:rPr>
        <w:t xml:space="preserve">no coadyuva en absoluto a la transparencia de </w:t>
      </w:r>
      <w:r w:rsidR="00383A93">
        <w:rPr>
          <w:rFonts w:ascii="Palatino Linotype" w:hAnsi="Palatino Linotype" w:cs="Arial"/>
          <w:lang w:val="es-MX"/>
        </w:rPr>
        <w:t>la</w:t>
      </w:r>
      <w:r w:rsidR="00383A93" w:rsidRPr="00383A93">
        <w:rPr>
          <w:rFonts w:ascii="Palatino Linotype" w:hAnsi="Palatino Linotype" w:cs="Arial"/>
          <w:lang w:val="es-MX"/>
        </w:rPr>
        <w:t xml:space="preserve"> gestión pública</w:t>
      </w:r>
      <w:r w:rsidR="00DC12D0" w:rsidRPr="00DC12D0">
        <w:rPr>
          <w:rFonts w:ascii="Palatino Linotype" w:hAnsi="Palatino Linotype" w:cs="Arial"/>
          <w:lang w:val="es-MX"/>
        </w:rPr>
        <w:t>.</w:t>
      </w:r>
    </w:p>
    <w:p w:rsidR="00383A93" w:rsidRDefault="00383A93" w:rsidP="00DC12D0">
      <w:pPr>
        <w:spacing w:line="360" w:lineRule="auto"/>
        <w:jc w:val="both"/>
        <w:rPr>
          <w:rFonts w:ascii="Palatino Linotype" w:hAnsi="Palatino Linotype" w:cs="Arial"/>
          <w:lang w:val="es-MX"/>
        </w:rPr>
      </w:pPr>
    </w:p>
    <w:p w:rsidR="00383A93" w:rsidRPr="00383A93" w:rsidRDefault="00B63948" w:rsidP="00383A93">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Lo anterior</w:t>
      </w:r>
      <w:r w:rsidR="00E515B2">
        <w:rPr>
          <w:rFonts w:ascii="Palatino Linotype" w:hAnsi="Palatino Linotype" w:cs="Arial"/>
        </w:rPr>
        <w:t>,</w:t>
      </w:r>
      <w:r>
        <w:rPr>
          <w:rFonts w:ascii="Palatino Linotype" w:hAnsi="Palatino Linotype" w:cs="Arial"/>
        </w:rPr>
        <w:t xml:space="preserve"> obedece a que </w:t>
      </w:r>
      <w:r w:rsidR="00383A93" w:rsidRPr="00383A93">
        <w:rPr>
          <w:rFonts w:ascii="Palatino Linotype" w:hAnsi="Palatino Linotype" w:cs="Arial"/>
        </w:rPr>
        <w:t xml:space="preserve">el particular se encuentra interesado en acceder a </w:t>
      </w:r>
      <w:r w:rsidR="00F34645">
        <w:rPr>
          <w:rFonts w:ascii="Palatino Linotype" w:hAnsi="Palatino Linotype" w:cs="Arial"/>
        </w:rPr>
        <w:t>los inventarios de bienes muebles e inmuebles</w:t>
      </w:r>
      <w:r w:rsidR="00383A93">
        <w:rPr>
          <w:rFonts w:ascii="Palatino Linotype" w:hAnsi="Palatino Linotype" w:cs="Arial"/>
        </w:rPr>
        <w:t xml:space="preserve">; es decir, </w:t>
      </w:r>
      <w:r w:rsidR="00383A93" w:rsidRPr="00383A93">
        <w:rPr>
          <w:rFonts w:ascii="Palatino Linotype" w:hAnsi="Palatino Linotype" w:cs="Arial"/>
        </w:rPr>
        <w:t xml:space="preserve">pretende conocer el estado que guardan los bienes que forman parte del patrimonio de dicha dependencia, lo cual otorga certeza sobre la salvaguarda y protección de los mismos,  </w:t>
      </w:r>
      <w:r w:rsidR="00DF46B8">
        <w:rPr>
          <w:rFonts w:ascii="Palatino Linotype" w:hAnsi="Palatino Linotype" w:cs="Arial"/>
        </w:rPr>
        <w:t>situación que no podía darse por colmada con la entrega de los</w:t>
      </w:r>
      <w:r w:rsidR="00F34645">
        <w:rPr>
          <w:rFonts w:ascii="Palatino Linotype" w:hAnsi="Palatino Linotype" w:cs="Arial"/>
        </w:rPr>
        <w:t xml:space="preserve"> documentos </w:t>
      </w:r>
      <w:r w:rsidR="00DF46B8">
        <w:rPr>
          <w:rFonts w:ascii="Palatino Linotype" w:hAnsi="Palatino Linotype" w:cs="Arial"/>
        </w:rPr>
        <w:t xml:space="preserve">testados por </w:t>
      </w:r>
      <w:r w:rsidR="00DF46B8">
        <w:rPr>
          <w:rFonts w:ascii="Palatino Linotype" w:hAnsi="Palatino Linotype" w:cs="Arial"/>
          <w:b/>
        </w:rPr>
        <w:t xml:space="preserve">EL SUJETO OBLIGADO </w:t>
      </w:r>
      <w:r w:rsidR="00DF46B8">
        <w:rPr>
          <w:rFonts w:ascii="Palatino Linotype" w:hAnsi="Palatino Linotype" w:cs="Arial"/>
        </w:rPr>
        <w:t>al contener</w:t>
      </w:r>
      <w:r w:rsidR="00383A93" w:rsidRPr="00383A93">
        <w:rPr>
          <w:rFonts w:ascii="Palatino Linotype" w:hAnsi="Palatino Linotype" w:cs="Arial"/>
        </w:rPr>
        <w:t xml:space="preserve"> datos susceptibles de clasificarse como reservados</w:t>
      </w:r>
      <w:r w:rsidR="00F34645">
        <w:rPr>
          <w:rFonts w:ascii="Palatino Linotype" w:hAnsi="Palatino Linotype" w:cs="Arial"/>
        </w:rPr>
        <w:t xml:space="preserve"> conforme al Acuerdo del Comité de Transparencia </w:t>
      </w:r>
      <w:r w:rsidR="00F34645" w:rsidRPr="00F34645">
        <w:rPr>
          <w:rFonts w:ascii="Palatino Linotype" w:hAnsi="Palatino Linotype" w:cs="Arial"/>
        </w:rPr>
        <w:t>CT/CO/006/2018</w:t>
      </w:r>
      <w:r w:rsidR="00383A93" w:rsidRPr="00383A93">
        <w:rPr>
          <w:rFonts w:ascii="Palatino Linotype" w:hAnsi="Palatino Linotype" w:cs="Arial"/>
        </w:rPr>
        <w:t xml:space="preserve">, tal es el caso de los números de serie de los automóviles que integran el patrimonio del </w:t>
      </w:r>
      <w:r w:rsidR="00383A93" w:rsidRPr="00383A93">
        <w:rPr>
          <w:rFonts w:ascii="Palatino Linotype" w:hAnsi="Palatino Linotype" w:cs="Arial"/>
          <w:b/>
        </w:rPr>
        <w:t>SUJETO OBLIGADO</w:t>
      </w:r>
      <w:r w:rsidR="00383A93" w:rsidRPr="00383A93">
        <w:rPr>
          <w:rFonts w:ascii="Palatino Linotype" w:hAnsi="Palatino Linotype" w:cs="Arial"/>
        </w:rPr>
        <w:t xml:space="preserve">, situación que no </w:t>
      </w:r>
      <w:r w:rsidR="00DF46B8">
        <w:rPr>
          <w:rFonts w:ascii="Palatino Linotype" w:hAnsi="Palatino Linotype" w:cs="Arial"/>
        </w:rPr>
        <w:t>se comparte</w:t>
      </w:r>
      <w:r w:rsidR="00383A93" w:rsidRPr="00383A93">
        <w:rPr>
          <w:rFonts w:ascii="Palatino Linotype" w:hAnsi="Palatino Linotype" w:cs="Arial"/>
        </w:rPr>
        <w:t xml:space="preserve">. </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lastRenderedPageBreak/>
        <w:t>Dicho de otra manera</w:t>
      </w:r>
      <w:r w:rsidR="00DF46B8">
        <w:rPr>
          <w:rFonts w:ascii="Palatino Linotype" w:hAnsi="Palatino Linotype" w:cs="Arial"/>
        </w:rPr>
        <w:t>,</w:t>
      </w:r>
      <w:r w:rsidRPr="00383A93">
        <w:rPr>
          <w:rFonts w:ascii="Palatino Linotype" w:hAnsi="Palatino Linotype" w:cs="Arial"/>
        </w:rPr>
        <w:t xml:space="preserve"> restringir el derecho de acceso a la información pública del particular negando el acceso al documento otorgado por el Sujeto Obligado, argumentando que el Número de Identificación Vehicular es un dato susceptible de clasificar</w:t>
      </w:r>
      <w:r w:rsidR="00DF46B8">
        <w:rPr>
          <w:rFonts w:ascii="Palatino Linotype" w:hAnsi="Palatino Linotype" w:cs="Arial"/>
        </w:rPr>
        <w:t>s</w:t>
      </w:r>
      <w:r w:rsidRPr="00383A93">
        <w:rPr>
          <w:rFonts w:ascii="Palatino Linotype" w:hAnsi="Palatino Linotype" w:cs="Arial"/>
        </w:rPr>
        <w:t xml:space="preserve">e como reservado, debilita la efectividad de esta garantía que otorga el multicitado derecho. </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t xml:space="preserve">En efecto, el Derecho de Acceso a la Información </w:t>
      </w:r>
      <w:r w:rsidRPr="000015CB">
        <w:rPr>
          <w:rFonts w:ascii="Palatino Linotype" w:hAnsi="Palatino Linotype" w:cs="Arial"/>
          <w:i/>
        </w:rPr>
        <w:t>“es la igualdad de oportunidades para recibir, buscar e impartir información”</w:t>
      </w:r>
      <w:r>
        <w:rPr>
          <w:rStyle w:val="Refdenotaalpie"/>
          <w:rFonts w:ascii="Palatino Linotype" w:hAnsi="Palatino Linotype" w:cs="Arial"/>
        </w:rPr>
        <w:footnoteReference w:id="1"/>
      </w:r>
      <w:r w:rsidRPr="00383A93">
        <w:rPr>
          <w:rFonts w:ascii="Palatino Linotype" w:hAnsi="Palatino Linotype" w:cs="Arial"/>
        </w:rPr>
        <w:t xml:space="preserve"> </w:t>
      </w:r>
      <w:r w:rsidRPr="000015CB">
        <w:rPr>
          <w:rFonts w:ascii="Palatino Linotype" w:hAnsi="Palatino Linotype" w:cs="Arial"/>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hAnsi="Palatino Linotype" w:cs="Arial"/>
        </w:rPr>
        <w:footnoteReference w:id="2"/>
      </w:r>
      <w:r w:rsidRPr="00383A93">
        <w:rPr>
          <w:rFonts w:ascii="Palatino Linotype" w:hAnsi="Palatino Linotype" w:cs="Arial"/>
        </w:rPr>
        <w:t xml:space="preserve"> que se constituye como una herramienta fundamental para </w:t>
      </w:r>
      <w:r w:rsidRPr="000015CB">
        <w:rPr>
          <w:rFonts w:ascii="Palatino Linotype" w:hAnsi="Palatino Linotype" w:cs="Arial"/>
          <w:i/>
        </w:rPr>
        <w:t>“ejercer control democrático de las gestiones estatales, de forma tal que puedan cuestionar, indagar y considerar si se está dando un adecuado cumplimiento de las funciones públicas”</w:t>
      </w:r>
      <w:r>
        <w:rPr>
          <w:rStyle w:val="Refdenotaalpie"/>
          <w:rFonts w:ascii="Palatino Linotype" w:hAnsi="Palatino Linotype" w:cs="Arial"/>
        </w:rPr>
        <w:footnoteReference w:id="3"/>
      </w:r>
      <w:r w:rsidRPr="00383A93">
        <w:rPr>
          <w:rFonts w:ascii="Palatino Linotype" w:hAnsi="Palatino Linotype" w:cs="Arial"/>
        </w:rPr>
        <w:t xml:space="preserve">, fomentando la </w:t>
      </w:r>
      <w:r w:rsidRPr="000015CB">
        <w:rPr>
          <w:rFonts w:ascii="Palatino Linotype" w:hAnsi="Palatino Linotype" w:cs="Arial"/>
          <w:i/>
        </w:rPr>
        <w:t>“transparencia de las actividades estatales y promoviendo la responsabilidad de los funcionarios sobre su gestión pública”</w:t>
      </w:r>
      <w:r>
        <w:rPr>
          <w:rStyle w:val="Refdenotaalpie"/>
          <w:rFonts w:ascii="Palatino Linotype" w:hAnsi="Palatino Linotype" w:cs="Arial"/>
        </w:rPr>
        <w:footnoteReference w:id="4"/>
      </w:r>
      <w:r w:rsidRPr="00383A93">
        <w:rPr>
          <w:rFonts w:ascii="Palatino Linotype" w:hAnsi="Palatino Linotype" w:cs="Arial"/>
        </w:rPr>
        <w:t xml:space="preserve">  que permite </w:t>
      </w:r>
      <w:r w:rsidRPr="000015CB">
        <w:rPr>
          <w:rFonts w:ascii="Palatino Linotype" w:hAnsi="Palatino Linotype" w:cs="Arial"/>
          <w:i/>
        </w:rPr>
        <w:t>“saber qué están haciendo los gobiernos por sus pueblos, sin lo cual la verdad languidecería y la participación en el gobierno permanecería fragmentada”</w:t>
      </w:r>
      <w:r>
        <w:rPr>
          <w:rStyle w:val="Refdenotaalpie"/>
          <w:rFonts w:ascii="Palatino Linotype" w:hAnsi="Palatino Linotype" w:cs="Arial"/>
        </w:rPr>
        <w:footnoteReference w:id="5"/>
      </w:r>
      <w:r w:rsidRPr="00383A93">
        <w:rPr>
          <w:rFonts w:ascii="Palatino Linotype" w:hAnsi="Palatino Linotype" w:cs="Arial"/>
        </w:rPr>
        <w:t>.</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lastRenderedPageBreak/>
        <w:t xml:space="preserve">En ese tenor el particular, presentó la solicitud de acceso a la información pública ante </w:t>
      </w:r>
      <w:r w:rsidR="000015CB" w:rsidRPr="000015CB">
        <w:rPr>
          <w:rFonts w:ascii="Palatino Linotype" w:hAnsi="Palatino Linotype" w:cs="Arial"/>
          <w:b/>
        </w:rPr>
        <w:t>EL SUJETO OBLIGADO</w:t>
      </w:r>
      <w:r w:rsidRPr="00383A93">
        <w:rPr>
          <w:rFonts w:ascii="Palatino Linotype" w:hAnsi="Palatino Linotype" w:cs="Arial"/>
        </w:rPr>
        <w:t xml:space="preserve">, ejerciendo el derecho en cuestión a través de su garantía primaria depositada en la autoridad quien, por mandato categórico del tercer párrafo del artículo primero de la Constitución Federal, se encuentra obligado, como todas las demás autoridades, en el ámbito de su competencia, a </w:t>
      </w:r>
      <w:r w:rsidRPr="000015CB">
        <w:rPr>
          <w:rFonts w:ascii="Palatino Linotype" w:hAnsi="Palatino Linotype" w:cs="Arial"/>
          <w:b/>
        </w:rPr>
        <w:t>“promover, respetar, proteger y garantizar los derechos humanos”</w:t>
      </w:r>
      <w:r w:rsidRPr="00383A93">
        <w:rPr>
          <w:rFonts w:ascii="Palatino Linotype" w:hAnsi="Palatino Linotype" w:cs="Arial"/>
        </w:rPr>
        <w:t>, entre los cuales se encuentra el de acceso a la información.</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t xml:space="preserve">En ese sentido la garantía primaria, en la que se constituye la solicitud de acceso a la información pública, impone a las autoridades la obligación de atender la solicitud en los términos requeridos, </w:t>
      </w:r>
      <w:r w:rsidR="00DF46B8">
        <w:rPr>
          <w:rFonts w:ascii="Palatino Linotype" w:hAnsi="Palatino Linotype" w:cs="Arial"/>
        </w:rPr>
        <w:t>así</w:t>
      </w:r>
      <w:r w:rsidRPr="00383A93">
        <w:rPr>
          <w:rFonts w:ascii="Palatino Linotype" w:hAnsi="Palatino Linotype" w:cs="Arial"/>
        </w:rPr>
        <w:t xml:space="preserve">, como el resto de los derechos, ninguno es absoluto y es posible limitarlos y restringirlos, siguiendo el procedimiento que para tal efecto se encuentra establecido; sin embargo, en el caso que se resuelve, no se acreditó por la Ponencia Resolutora que el número de serie o de motor actualizara el supuesto de clasificación invocado, con el desarrollo de la respectiva prueba de daño y, por el contrario, los suscritos consideran que el número de serie que se asigna de manera única e individual a cada vehículo es información pública cuando se trata de unidades que pertenecen al parque vehicular de los </w:t>
      </w:r>
      <w:r w:rsidR="000015CB" w:rsidRPr="00383A93">
        <w:rPr>
          <w:rFonts w:ascii="Palatino Linotype" w:hAnsi="Palatino Linotype" w:cs="Arial"/>
        </w:rPr>
        <w:t>Sujetos Obligados</w:t>
      </w:r>
      <w:r w:rsidRPr="00383A93">
        <w:rPr>
          <w:rFonts w:ascii="Palatino Linotype" w:hAnsi="Palatino Linotype" w:cs="Arial"/>
        </w:rPr>
        <w:t xml:space="preserve">, ya que </w:t>
      </w:r>
      <w:r w:rsidR="000015CB">
        <w:rPr>
          <w:rFonts w:ascii="Palatino Linotype" w:hAnsi="Palatino Linotype" w:cs="Arial"/>
        </w:rPr>
        <w:t>é</w:t>
      </w:r>
      <w:r w:rsidRPr="00383A93">
        <w:rPr>
          <w:rFonts w:ascii="Palatino Linotype" w:hAnsi="Palatino Linotype" w:cs="Arial"/>
        </w:rPr>
        <w:t>ste y el número de placa son los datos que identifican plenamente a cada unidad y en consecuencia, permiten transparentar su compra, asignación, resguardo y cuidado respectivo.</w:t>
      </w:r>
    </w:p>
    <w:p w:rsidR="000015CB" w:rsidRDefault="000015CB" w:rsidP="00383A93">
      <w:pPr>
        <w:autoSpaceDE w:val="0"/>
        <w:autoSpaceDN w:val="0"/>
        <w:adjustRightInd w:val="0"/>
        <w:spacing w:line="360" w:lineRule="auto"/>
        <w:ind w:right="49"/>
        <w:jc w:val="both"/>
        <w:rPr>
          <w:rFonts w:ascii="Palatino Linotype" w:hAnsi="Palatino Linotype" w:cs="Arial"/>
        </w:rPr>
      </w:pPr>
    </w:p>
    <w:p w:rsidR="00383A93" w:rsidRPr="00383A93" w:rsidRDefault="00DF46B8" w:rsidP="00383A93">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lastRenderedPageBreak/>
        <w:t>En ese sentido, cabe recalcar</w:t>
      </w:r>
      <w:r w:rsidR="00383A93" w:rsidRPr="00383A93">
        <w:rPr>
          <w:rFonts w:ascii="Palatino Linotype" w:hAnsi="Palatino Linotype" w:cs="Arial"/>
        </w:rPr>
        <w:t xml:space="preserve"> que el número de serie, “mismo que se entiende como el Número de Identificación Vehicular único, será asignado por el fabricante o ensamblador, mismo que debe grabarse directamente sobre una pieza estructural sólida del vehículo, que puede ser el chasis o en caso de remolques, semirremolques y convertidores, en una pieza inamovible o difícilmente reemplazable de la carrocería o en una placa metálica o etiqueta que no pueda removerse sin ser destruida, a través de procedimientos que garanticen la permanencia del NIV durante la vida útil del vehículo bajo condiciones normales de uso. Es decir, se trata de un dato que resume las características propias de cada vehículo, diferente en cada uno, o sea, único y que si bien debe ser colocado en una parte visible del vehículo, no es fácil de percibir como sucede por ejemplo con el número de placas”</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Default="000015CB" w:rsidP="000015CB">
      <w:pPr>
        <w:autoSpaceDE w:val="0"/>
        <w:autoSpaceDN w:val="0"/>
        <w:adjustRightInd w:val="0"/>
        <w:spacing w:line="360" w:lineRule="auto"/>
        <w:ind w:right="49"/>
        <w:jc w:val="center"/>
        <w:rPr>
          <w:rFonts w:ascii="Palatino Linotype" w:hAnsi="Palatino Linotype" w:cs="Arial"/>
        </w:rPr>
      </w:pPr>
      <w:r>
        <w:rPr>
          <w:noProof/>
          <w:lang w:val="es-MX" w:eastAsia="es-MX"/>
        </w:rPr>
        <w:drawing>
          <wp:inline distT="0" distB="0" distL="0" distR="0" wp14:anchorId="134E2DB0" wp14:editId="393B618D">
            <wp:extent cx="5235826" cy="181598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89" t="4182" r="14426" b="55396"/>
                    <a:stretch/>
                  </pic:blipFill>
                  <pic:spPr bwMode="auto">
                    <a:xfrm>
                      <a:off x="0" y="0"/>
                      <a:ext cx="5255631" cy="1822858"/>
                    </a:xfrm>
                    <a:prstGeom prst="rect">
                      <a:avLst/>
                    </a:prstGeom>
                    <a:ln>
                      <a:noFill/>
                    </a:ln>
                    <a:extLst>
                      <a:ext uri="{53640926-AAD7-44D8-BBD7-CCE9431645EC}">
                        <a14:shadowObscured xmlns:a14="http://schemas.microsoft.com/office/drawing/2010/main"/>
                      </a:ext>
                    </a:extLst>
                  </pic:spPr>
                </pic:pic>
              </a:graphicData>
            </a:graphic>
          </wp:inline>
        </w:drawing>
      </w:r>
    </w:p>
    <w:p w:rsidR="00DF4AC7" w:rsidRDefault="00DF4AC7" w:rsidP="000015CB">
      <w:pPr>
        <w:autoSpaceDE w:val="0"/>
        <w:autoSpaceDN w:val="0"/>
        <w:adjustRightInd w:val="0"/>
        <w:ind w:left="284" w:right="283"/>
        <w:jc w:val="both"/>
        <w:rPr>
          <w:rFonts w:ascii="Palatino Linotype" w:hAnsi="Palatino Linotype" w:cs="Arial"/>
          <w:sz w:val="22"/>
        </w:rPr>
      </w:pPr>
    </w:p>
    <w:p w:rsidR="00383A93" w:rsidRPr="000015CB" w:rsidRDefault="00383A93" w:rsidP="00DF4AC7">
      <w:pPr>
        <w:autoSpaceDE w:val="0"/>
        <w:autoSpaceDN w:val="0"/>
        <w:adjustRightInd w:val="0"/>
        <w:ind w:left="709" w:right="850"/>
        <w:jc w:val="both"/>
        <w:rPr>
          <w:rFonts w:ascii="Palatino Linotype" w:hAnsi="Palatino Linotype" w:cs="Arial"/>
          <w:sz w:val="22"/>
        </w:rPr>
      </w:pPr>
      <w:r w:rsidRPr="000015CB">
        <w:rPr>
          <w:rFonts w:ascii="Palatino Linotype" w:hAnsi="Palatino Linotype" w:cs="Arial"/>
          <w:sz w:val="22"/>
        </w:rPr>
        <w:t xml:space="preserve">Información obtenida de la dirección electrónica </w:t>
      </w:r>
      <w:hyperlink r:id="rId9" w:history="1">
        <w:r w:rsidR="000015CB" w:rsidRPr="000015CB">
          <w:rPr>
            <w:rStyle w:val="Hipervnculo"/>
            <w:rFonts w:ascii="Palatino Linotype" w:hAnsi="Palatino Linotype" w:cs="Arial"/>
            <w:sz w:val="22"/>
          </w:rPr>
          <w:t>https://www.repuve-consulta.com.mx/consulta-ciudadana</w:t>
        </w:r>
      </w:hyperlink>
    </w:p>
    <w:p w:rsidR="000015CB" w:rsidRPr="00383A93" w:rsidRDefault="000015CB" w:rsidP="00DF4AC7">
      <w:pPr>
        <w:autoSpaceDE w:val="0"/>
        <w:autoSpaceDN w:val="0"/>
        <w:adjustRightInd w:val="0"/>
        <w:spacing w:line="360" w:lineRule="auto"/>
        <w:ind w:left="709" w:right="850"/>
        <w:jc w:val="both"/>
        <w:rPr>
          <w:rFonts w:ascii="Palatino Linotype" w:hAnsi="Palatino Linotype" w:cs="Arial"/>
        </w:rPr>
      </w:pP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lastRenderedPageBreak/>
        <w:t>Bajo ese contexto</w:t>
      </w:r>
      <w:r w:rsidR="00DF46B8">
        <w:rPr>
          <w:rFonts w:ascii="Palatino Linotype" w:hAnsi="Palatino Linotype" w:cs="Arial"/>
        </w:rPr>
        <w:t>,</w:t>
      </w:r>
      <w:r w:rsidRPr="00383A93">
        <w:rPr>
          <w:rFonts w:ascii="Palatino Linotype" w:hAnsi="Palatino Linotype" w:cs="Arial"/>
        </w:rPr>
        <w:t xml:space="preserve"> es que no acompañamos la tesitura de la </w:t>
      </w:r>
      <w:r w:rsidR="000015CB" w:rsidRPr="00383A93">
        <w:rPr>
          <w:rFonts w:ascii="Palatino Linotype" w:hAnsi="Palatino Linotype" w:cs="Arial"/>
        </w:rPr>
        <w:t xml:space="preserve">Ponencia Resolutora </w:t>
      </w:r>
      <w:r w:rsidRPr="00383A93">
        <w:rPr>
          <w:rFonts w:ascii="Palatino Linotype" w:hAnsi="Palatino Linotype" w:cs="Arial"/>
        </w:rPr>
        <w:t xml:space="preserve">pues como se refiere el Número de Identificación Vehicular se encuentra visible en la carrocería del automóvil y su utilidad no es requisito </w:t>
      </w:r>
      <w:r w:rsidRPr="000015CB">
        <w:rPr>
          <w:rFonts w:ascii="Palatino Linotype" w:hAnsi="Palatino Linotype" w:cs="Arial"/>
          <w:i/>
        </w:rPr>
        <w:t>sine qua non</w:t>
      </w:r>
      <w:r w:rsidR="00DF4AC7">
        <w:rPr>
          <w:rStyle w:val="Refdenotaalpie"/>
          <w:rFonts w:ascii="Palatino Linotype" w:hAnsi="Palatino Linotype" w:cs="Arial"/>
          <w:i/>
        </w:rPr>
        <w:footnoteReference w:id="6"/>
      </w:r>
      <w:r w:rsidRPr="00383A93">
        <w:rPr>
          <w:rFonts w:ascii="Palatino Linotype" w:hAnsi="Palatino Linotype" w:cs="Arial"/>
        </w:rPr>
        <w:t>, para obtener información sobre el estatus legal de los vehículos en el Registro Público Vehicular (REPUVE), consultable en https://www.repuve-consulta.com.mx/consulta-ciudadana.</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t>En efecto, como se muestra a continuación, para obtener información del REPUVE, basta con tener el número de placas; lo anterior puesto que dicho registro corresponde a un sistema asentado en una base de datos, que contiene el registro de información a nivel nacional que tiene como propósito otorgar seguridad pública y jurídica a los actos que se realicen con vehículos que circulen en territorio nacional, mediante la identificación y control vehicular; además de brindar servicios de información al público.</w:t>
      </w:r>
    </w:p>
    <w:p w:rsidR="00383A93" w:rsidRPr="00383A93" w:rsidRDefault="000015CB" w:rsidP="000015CB">
      <w:pPr>
        <w:autoSpaceDE w:val="0"/>
        <w:autoSpaceDN w:val="0"/>
        <w:adjustRightInd w:val="0"/>
        <w:spacing w:line="360" w:lineRule="auto"/>
        <w:ind w:right="49"/>
        <w:jc w:val="center"/>
        <w:rPr>
          <w:rFonts w:ascii="Palatino Linotype" w:hAnsi="Palatino Linotype" w:cs="Arial"/>
        </w:rPr>
      </w:pPr>
      <w:r>
        <w:rPr>
          <w:noProof/>
          <w:lang w:val="es-MX" w:eastAsia="es-MX"/>
        </w:rPr>
        <w:drawing>
          <wp:inline distT="0" distB="0" distL="0" distR="0" wp14:anchorId="2357688F" wp14:editId="6B52F69C">
            <wp:extent cx="3696778" cy="22328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28" t="7168" r="46574" b="20350"/>
                    <a:stretch/>
                  </pic:blipFill>
                  <pic:spPr bwMode="auto">
                    <a:xfrm>
                      <a:off x="0" y="0"/>
                      <a:ext cx="3760716" cy="2271455"/>
                    </a:xfrm>
                    <a:prstGeom prst="rect">
                      <a:avLst/>
                    </a:prstGeom>
                    <a:ln>
                      <a:noFill/>
                    </a:ln>
                    <a:extLst>
                      <a:ext uri="{53640926-AAD7-44D8-BBD7-CCE9431645EC}">
                        <a14:shadowObscured xmlns:a14="http://schemas.microsoft.com/office/drawing/2010/main"/>
                      </a:ext>
                    </a:extLst>
                  </pic:spPr>
                </pic:pic>
              </a:graphicData>
            </a:graphic>
          </wp:inline>
        </w:drawing>
      </w:r>
    </w:p>
    <w:p w:rsidR="00DF4AC7" w:rsidRDefault="00DF4AC7" w:rsidP="000015CB">
      <w:pPr>
        <w:autoSpaceDE w:val="0"/>
        <w:autoSpaceDN w:val="0"/>
        <w:adjustRightInd w:val="0"/>
        <w:ind w:left="1701" w:right="1843"/>
        <w:jc w:val="both"/>
        <w:rPr>
          <w:rFonts w:ascii="Palatino Linotype" w:hAnsi="Palatino Linotype" w:cs="Arial"/>
          <w:sz w:val="22"/>
        </w:rPr>
      </w:pPr>
    </w:p>
    <w:p w:rsidR="000015CB" w:rsidRPr="000015CB" w:rsidRDefault="00383A93" w:rsidP="000015CB">
      <w:pPr>
        <w:autoSpaceDE w:val="0"/>
        <w:autoSpaceDN w:val="0"/>
        <w:adjustRightInd w:val="0"/>
        <w:ind w:left="1701" w:right="1843"/>
        <w:jc w:val="both"/>
        <w:rPr>
          <w:rFonts w:ascii="Palatino Linotype" w:hAnsi="Palatino Linotype" w:cs="Arial"/>
          <w:sz w:val="22"/>
        </w:rPr>
      </w:pPr>
      <w:r w:rsidRPr="000015CB">
        <w:rPr>
          <w:rFonts w:ascii="Palatino Linotype" w:hAnsi="Palatino Linotype" w:cs="Arial"/>
          <w:sz w:val="22"/>
        </w:rPr>
        <w:t xml:space="preserve">Información obtenida de la dirección electrónica </w:t>
      </w:r>
      <w:hyperlink r:id="rId11" w:history="1">
        <w:r w:rsidR="000015CB" w:rsidRPr="000015CB">
          <w:rPr>
            <w:rStyle w:val="Hipervnculo"/>
            <w:rFonts w:ascii="Palatino Linotype" w:hAnsi="Palatino Linotype" w:cs="Arial"/>
            <w:sz w:val="22"/>
          </w:rPr>
          <w:t>https://www.repuve-consulta.com.mx/consulta-ciudadana</w:t>
        </w:r>
      </w:hyperlink>
    </w:p>
    <w:p w:rsidR="000015CB" w:rsidRDefault="000015CB" w:rsidP="00383A93">
      <w:pPr>
        <w:autoSpaceDE w:val="0"/>
        <w:autoSpaceDN w:val="0"/>
        <w:adjustRightInd w:val="0"/>
        <w:spacing w:line="360" w:lineRule="auto"/>
        <w:ind w:right="49"/>
        <w:jc w:val="both"/>
        <w:rPr>
          <w:rFonts w:ascii="Palatino Linotype" w:hAnsi="Palatino Linotype" w:cs="Arial"/>
        </w:rPr>
      </w:pPr>
    </w:p>
    <w:p w:rsidR="00383A93" w:rsidRDefault="00DF4AC7" w:rsidP="00383A93">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Así, p</w:t>
      </w:r>
      <w:r w:rsidR="00383A93" w:rsidRPr="00383A93">
        <w:rPr>
          <w:rFonts w:ascii="Palatino Linotype" w:hAnsi="Palatino Linotype" w:cs="Arial"/>
        </w:rPr>
        <w:t xml:space="preserve">ara que dicho sistema arroje resultados es necesario introducir </w:t>
      </w:r>
      <w:r w:rsidRPr="00383A93">
        <w:rPr>
          <w:rFonts w:ascii="Palatino Linotype" w:hAnsi="Palatino Linotype" w:cs="Arial"/>
        </w:rPr>
        <w:t>cualquiera</w:t>
      </w:r>
      <w:r w:rsidR="00383A93" w:rsidRPr="00383A93">
        <w:rPr>
          <w:rFonts w:ascii="Palatino Linotype" w:hAnsi="Palatino Linotype" w:cs="Arial"/>
        </w:rPr>
        <w:t xml:space="preserve"> de los datos</w:t>
      </w:r>
      <w:r>
        <w:rPr>
          <w:rFonts w:ascii="Palatino Linotype" w:hAnsi="Palatino Linotype" w:cs="Arial"/>
        </w:rPr>
        <w:t xml:space="preserve">, ya sea la </w:t>
      </w:r>
      <w:r w:rsidR="00383A93" w:rsidRPr="00383A93">
        <w:rPr>
          <w:rFonts w:ascii="Palatino Linotype" w:hAnsi="Palatino Linotype" w:cs="Arial"/>
        </w:rPr>
        <w:t xml:space="preserve">placa del automóvil </w:t>
      </w:r>
      <w:r>
        <w:rPr>
          <w:rFonts w:ascii="Palatino Linotype" w:hAnsi="Palatino Linotype" w:cs="Arial"/>
        </w:rPr>
        <w:t xml:space="preserve">o el </w:t>
      </w:r>
      <w:r w:rsidR="00383A93" w:rsidRPr="00383A93">
        <w:rPr>
          <w:rFonts w:ascii="Palatino Linotype" w:hAnsi="Palatino Linotype" w:cs="Arial"/>
        </w:rPr>
        <w:t>NIV (número de serie).</w:t>
      </w:r>
      <w:r>
        <w:rPr>
          <w:rFonts w:ascii="Palatino Linotype" w:hAnsi="Palatino Linotype" w:cs="Arial"/>
        </w:rPr>
        <w:t xml:space="preserve"> </w:t>
      </w:r>
      <w:r w:rsidR="00383A93" w:rsidRPr="00383A93">
        <w:rPr>
          <w:rFonts w:ascii="Palatino Linotype" w:hAnsi="Palatino Linotype" w:cs="Arial"/>
        </w:rPr>
        <w:t>Asimismo, el REPUEVE otorga resultados del automóvil en cuestión tocantes a los conceptos siguientes:</w:t>
      </w:r>
    </w:p>
    <w:p w:rsidR="00DF4AC7" w:rsidRPr="00383A93" w:rsidRDefault="00DF4AC7" w:rsidP="00383A93">
      <w:pPr>
        <w:autoSpaceDE w:val="0"/>
        <w:autoSpaceDN w:val="0"/>
        <w:adjustRightInd w:val="0"/>
        <w:spacing w:line="360" w:lineRule="auto"/>
        <w:ind w:right="49"/>
        <w:jc w:val="both"/>
        <w:rPr>
          <w:rFonts w:ascii="Palatino Linotype" w:hAnsi="Palatino Linotype" w:cs="Arial"/>
        </w:rPr>
      </w:pPr>
    </w:p>
    <w:p w:rsidR="000015CB" w:rsidRPr="00383A93" w:rsidRDefault="000015CB" w:rsidP="00DF4AC7">
      <w:pPr>
        <w:autoSpaceDE w:val="0"/>
        <w:autoSpaceDN w:val="0"/>
        <w:adjustRightInd w:val="0"/>
        <w:spacing w:line="360" w:lineRule="auto"/>
        <w:ind w:right="49"/>
        <w:jc w:val="center"/>
        <w:rPr>
          <w:rFonts w:ascii="Palatino Linotype" w:hAnsi="Palatino Linotype" w:cs="Arial"/>
        </w:rPr>
      </w:pPr>
      <w:r w:rsidRPr="000C2F9E">
        <w:rPr>
          <w:rFonts w:ascii="Palatino Linotype" w:eastAsia="MS Mincho" w:hAnsi="Palatino Linotype"/>
          <w:noProof/>
          <w:color w:val="000000"/>
          <w:lang w:val="es-MX" w:eastAsia="es-MX"/>
        </w:rPr>
        <w:drawing>
          <wp:inline distT="0" distB="0" distL="0" distR="0" wp14:anchorId="755C56E7" wp14:editId="727ECBC9">
            <wp:extent cx="5020206" cy="2317897"/>
            <wp:effectExtent l="19050" t="19050" r="28575"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309" cy="2335951"/>
                    </a:xfrm>
                    <a:prstGeom prst="rect">
                      <a:avLst/>
                    </a:prstGeom>
                    <a:noFill/>
                    <a:ln>
                      <a:solidFill>
                        <a:sysClr val="windowText" lastClr="000000"/>
                      </a:solidFill>
                    </a:ln>
                  </pic:spPr>
                </pic:pic>
              </a:graphicData>
            </a:graphic>
          </wp:inline>
        </w:drawing>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t>De lo anterior</w:t>
      </w:r>
      <w:r w:rsidR="00DF4AC7">
        <w:rPr>
          <w:rFonts w:ascii="Palatino Linotype" w:hAnsi="Palatino Linotype" w:cs="Arial"/>
        </w:rPr>
        <w:t>,</w:t>
      </w:r>
      <w:r w:rsidRPr="00383A93">
        <w:rPr>
          <w:rFonts w:ascii="Palatino Linotype" w:hAnsi="Palatino Linotype" w:cs="Arial"/>
        </w:rPr>
        <w:t xml:space="preserve"> se aprecia que esa base de datos de dominio público, permite el acceso al Número de Identificación </w:t>
      </w:r>
      <w:r w:rsidR="00DF4AC7" w:rsidRPr="00383A93">
        <w:rPr>
          <w:rFonts w:ascii="Palatino Linotype" w:hAnsi="Palatino Linotype" w:cs="Arial"/>
        </w:rPr>
        <w:t>Vehicular;</w:t>
      </w:r>
      <w:r w:rsidR="00DF4AC7">
        <w:rPr>
          <w:rFonts w:ascii="Palatino Linotype" w:hAnsi="Palatino Linotype" w:cs="Arial"/>
        </w:rPr>
        <w:t xml:space="preserve"> l</w:t>
      </w:r>
      <w:r w:rsidRPr="00383A93">
        <w:rPr>
          <w:rFonts w:ascii="Palatino Linotype" w:hAnsi="Palatino Linotype" w:cs="Arial"/>
        </w:rPr>
        <w:t xml:space="preserve">uego, se colige que cualquier persona que obtenga datos básicos del vehículo como el número de placa, puede acceder a la información del mismo, sin necesidad del Número de Identificación Vehicular (NIV), sea cual fuere el medio de obtención, como pudiera ser una fuente de acceso público, la vía pública o, el otorgamiento de un padrón. </w:t>
      </w:r>
    </w:p>
    <w:p w:rsidR="00383A93" w:rsidRPr="00383A93" w:rsidRDefault="00383A93" w:rsidP="00383A93">
      <w:pPr>
        <w:autoSpaceDE w:val="0"/>
        <w:autoSpaceDN w:val="0"/>
        <w:adjustRightInd w:val="0"/>
        <w:spacing w:line="360" w:lineRule="auto"/>
        <w:ind w:right="49"/>
        <w:jc w:val="both"/>
        <w:rPr>
          <w:rFonts w:ascii="Palatino Linotype" w:hAnsi="Palatino Linotype" w:cs="Arial"/>
        </w:rPr>
      </w:pPr>
      <w:r w:rsidRPr="00383A93">
        <w:rPr>
          <w:rFonts w:ascii="Palatino Linotype" w:hAnsi="Palatino Linotype" w:cs="Arial"/>
        </w:rPr>
        <w:lastRenderedPageBreak/>
        <w:t xml:space="preserve">Bajo este orden de ideas, </w:t>
      </w:r>
      <w:r w:rsidR="00DF4AC7">
        <w:rPr>
          <w:rFonts w:ascii="Palatino Linotype" w:hAnsi="Palatino Linotype" w:cs="Arial"/>
        </w:rPr>
        <w:t xml:space="preserve">consideramos que </w:t>
      </w:r>
      <w:r w:rsidRPr="00383A93">
        <w:rPr>
          <w:rFonts w:ascii="Palatino Linotype" w:hAnsi="Palatino Linotype" w:cs="Arial"/>
        </w:rPr>
        <w:t>no es dable clasificar como reservado el NIV de los vehículos propiedad del Sujeto Obligado, ya que se trata de información que transparenta la situación jurídica del bien mueble</w:t>
      </w:r>
      <w:r w:rsidR="00DF4AC7">
        <w:rPr>
          <w:rFonts w:ascii="Palatino Linotype" w:hAnsi="Palatino Linotype" w:cs="Arial"/>
        </w:rPr>
        <w:t>. A</w:t>
      </w:r>
      <w:r w:rsidRPr="00383A93">
        <w:rPr>
          <w:rFonts w:ascii="Palatino Linotype" w:hAnsi="Palatino Linotype" w:cs="Arial"/>
        </w:rPr>
        <w:t>dicional a lo anterior, si alguna persona tuviera la intención de acceder al NIV de vehículos públicos, con el fin de cometer algún delito como falsificar documentos, la publicidad de esta información causaría el efecto contrario, pues el hecho de que se conozca el número de serie (NIV) de los autos propiedad de sujetos obligados, permite su verificación en el REPUVE.</w:t>
      </w:r>
    </w:p>
    <w:p w:rsidR="00383A93" w:rsidRPr="00D7476D" w:rsidRDefault="00383A93" w:rsidP="00383A93">
      <w:pPr>
        <w:autoSpaceDE w:val="0"/>
        <w:autoSpaceDN w:val="0"/>
        <w:adjustRightInd w:val="0"/>
        <w:spacing w:line="360" w:lineRule="auto"/>
        <w:ind w:right="49"/>
        <w:jc w:val="both"/>
        <w:rPr>
          <w:rFonts w:ascii="Palatino Linotype" w:hAnsi="Palatino Linotype" w:cs="Arial"/>
          <w:sz w:val="14"/>
        </w:rPr>
      </w:pPr>
    </w:p>
    <w:p w:rsidR="00383A93" w:rsidRPr="00DF4AC7" w:rsidRDefault="000015CB" w:rsidP="00F34645">
      <w:p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Por lo cual, los suscritos emit</w:t>
      </w:r>
      <w:r w:rsidR="00DF4AC7">
        <w:rPr>
          <w:rFonts w:ascii="Palatino Linotype" w:hAnsi="Palatino Linotype" w:cs="Arial"/>
        </w:rPr>
        <w:t>imos</w:t>
      </w:r>
      <w:r>
        <w:rPr>
          <w:rFonts w:ascii="Palatino Linotype" w:hAnsi="Palatino Linotype" w:cs="Arial"/>
        </w:rPr>
        <w:t xml:space="preserve"> </w:t>
      </w:r>
      <w:r w:rsidRPr="006073E1">
        <w:rPr>
          <w:rFonts w:ascii="Palatino Linotype" w:hAnsi="Palatino Linotype" w:cs="Arial"/>
          <w:b/>
        </w:rPr>
        <w:t>VOTO PARTICULAR</w:t>
      </w:r>
      <w:r w:rsidR="00DF4AC7">
        <w:rPr>
          <w:rFonts w:ascii="Palatino Linotype" w:hAnsi="Palatino Linotype" w:cs="Arial"/>
          <w:b/>
        </w:rPr>
        <w:t xml:space="preserve"> CONCURRENTE</w:t>
      </w:r>
      <w:r>
        <w:rPr>
          <w:rFonts w:ascii="Palatino Linotype" w:hAnsi="Palatino Linotype" w:cs="Arial"/>
          <w:b/>
        </w:rPr>
        <w:t xml:space="preserve"> </w:t>
      </w:r>
      <w:r w:rsidRPr="00F74B57">
        <w:rPr>
          <w:rFonts w:ascii="Palatino Linotype" w:hAnsi="Palatino Linotype" w:cs="Arial"/>
        </w:rPr>
        <w:t xml:space="preserve">con </w:t>
      </w:r>
      <w:r>
        <w:rPr>
          <w:rFonts w:ascii="Palatino Linotype" w:hAnsi="Palatino Linotype" w:cs="Arial"/>
        </w:rPr>
        <w:t xml:space="preserve">independencia de que se comparta el fallo, tanto en lo general como en su sentido, ya que se insiste que no es procedente </w:t>
      </w:r>
      <w:r w:rsidRPr="00383A93">
        <w:rPr>
          <w:rFonts w:ascii="Palatino Linotype" w:hAnsi="Palatino Linotype" w:cs="Arial"/>
        </w:rPr>
        <w:t xml:space="preserve">la clasificación del número de serie de los vehículos propiedad del </w:t>
      </w:r>
      <w:r w:rsidRPr="000015CB">
        <w:rPr>
          <w:rFonts w:ascii="Palatino Linotype" w:hAnsi="Palatino Linotype" w:cs="Arial"/>
          <w:b/>
        </w:rPr>
        <w:t>SUJETO OBLIGADO</w:t>
      </w:r>
      <w:r w:rsidR="00F34645">
        <w:rPr>
          <w:rFonts w:ascii="Palatino Linotype" w:hAnsi="Palatino Linotype" w:cs="Arial"/>
          <w:b/>
        </w:rPr>
        <w:t xml:space="preserve"> </w:t>
      </w:r>
      <w:r w:rsidR="00F34645">
        <w:rPr>
          <w:rFonts w:ascii="Palatino Linotype" w:hAnsi="Palatino Linotype" w:cs="Arial"/>
        </w:rPr>
        <w:t xml:space="preserve">a fin de garantizar el derecho de acceso a la información del </w:t>
      </w:r>
      <w:r w:rsidR="00F34645" w:rsidRPr="00A966FD">
        <w:rPr>
          <w:rFonts w:ascii="Palatino Linotype" w:hAnsi="Palatino Linotype" w:cs="Arial"/>
          <w:b/>
        </w:rPr>
        <w:t>RECURRENTE</w:t>
      </w:r>
      <w:r w:rsidR="00DF4AC7">
        <w:rPr>
          <w:rFonts w:ascii="Palatino Linotype" w:hAnsi="Palatino Linotype" w:cs="Arial"/>
          <w:b/>
        </w:rPr>
        <w:t xml:space="preserve"> </w:t>
      </w:r>
      <w:r w:rsidR="00DF4AC7">
        <w:rPr>
          <w:rFonts w:ascii="Palatino Linotype" w:hAnsi="Palatino Linotype" w:cs="Arial"/>
        </w:rPr>
        <w:t>y otorgar certeza jurídica a los particulares referente a los bienes que son propiedad de los entes gubernamentales.</w:t>
      </w:r>
    </w:p>
    <w:p w:rsidR="00D7476D" w:rsidRDefault="00D7476D" w:rsidP="00B63948">
      <w:pPr>
        <w:autoSpaceDE w:val="0"/>
        <w:autoSpaceDN w:val="0"/>
        <w:adjustRightInd w:val="0"/>
        <w:spacing w:line="360" w:lineRule="auto"/>
        <w:ind w:right="49"/>
        <w:jc w:val="both"/>
        <w:rPr>
          <w:rFonts w:ascii="Palatino Linotype" w:hAnsi="Palatino Linotype" w:cs="Arial"/>
        </w:rPr>
      </w:pPr>
      <w:bookmarkStart w:id="0" w:name="_GoBack"/>
      <w:bookmarkEnd w:id="0"/>
    </w:p>
    <w:tbl>
      <w:tblPr>
        <w:tblStyle w:val="Tablaconcuadrcula"/>
        <w:tblW w:w="0" w:type="auto"/>
        <w:tblLook w:val="04A0" w:firstRow="1" w:lastRow="0" w:firstColumn="1" w:lastColumn="0" w:noHBand="0" w:noVBand="1"/>
      </w:tblPr>
      <w:tblGrid>
        <w:gridCol w:w="4253"/>
        <w:gridCol w:w="4951"/>
      </w:tblGrid>
      <w:tr w:rsidR="00F34645" w:rsidTr="00F34645">
        <w:tc>
          <w:tcPr>
            <w:tcW w:w="4253" w:type="dxa"/>
            <w:tcBorders>
              <w:top w:val="nil"/>
              <w:left w:val="nil"/>
              <w:bottom w:val="nil"/>
              <w:right w:val="nil"/>
            </w:tcBorders>
          </w:tcPr>
          <w:p w:rsidR="00F34645" w:rsidRPr="00F34645" w:rsidRDefault="00F34645" w:rsidP="00F34645">
            <w:pPr>
              <w:autoSpaceDE w:val="0"/>
              <w:autoSpaceDN w:val="0"/>
              <w:adjustRightInd w:val="0"/>
              <w:jc w:val="center"/>
              <w:rPr>
                <w:rFonts w:ascii="Palatino Linotype" w:hAnsi="Palatino Linotype" w:cs="Arial"/>
                <w:b/>
              </w:rPr>
            </w:pPr>
            <w:r w:rsidRPr="00F34645">
              <w:rPr>
                <w:rFonts w:ascii="Palatino Linotype" w:hAnsi="Palatino Linotype" w:cs="Arial"/>
                <w:b/>
              </w:rPr>
              <w:t>EVA ABAID YAPUR</w:t>
            </w:r>
          </w:p>
        </w:tc>
        <w:tc>
          <w:tcPr>
            <w:tcW w:w="4951" w:type="dxa"/>
            <w:tcBorders>
              <w:top w:val="nil"/>
              <w:left w:val="nil"/>
              <w:bottom w:val="nil"/>
              <w:right w:val="nil"/>
            </w:tcBorders>
          </w:tcPr>
          <w:p w:rsidR="00F34645" w:rsidRPr="00F34645" w:rsidRDefault="00F34645" w:rsidP="00F34645">
            <w:pPr>
              <w:autoSpaceDE w:val="0"/>
              <w:autoSpaceDN w:val="0"/>
              <w:adjustRightInd w:val="0"/>
              <w:jc w:val="center"/>
              <w:rPr>
                <w:rFonts w:ascii="Palatino Linotype" w:hAnsi="Palatino Linotype" w:cs="Arial"/>
                <w:b/>
              </w:rPr>
            </w:pPr>
            <w:r w:rsidRPr="00F34645">
              <w:rPr>
                <w:rFonts w:ascii="Palatino Linotype" w:hAnsi="Palatino Linotype" w:cs="Arial"/>
                <w:b/>
              </w:rPr>
              <w:t>JOSÉ GUADALUPE LUNA HERNÁNDEZ</w:t>
            </w:r>
          </w:p>
        </w:tc>
      </w:tr>
      <w:tr w:rsidR="00F34645" w:rsidTr="00F34645">
        <w:tc>
          <w:tcPr>
            <w:tcW w:w="4253" w:type="dxa"/>
            <w:tcBorders>
              <w:top w:val="nil"/>
              <w:left w:val="nil"/>
              <w:bottom w:val="nil"/>
              <w:right w:val="nil"/>
            </w:tcBorders>
          </w:tcPr>
          <w:p w:rsidR="00F34645" w:rsidRDefault="00F34645" w:rsidP="00F34645">
            <w:pPr>
              <w:autoSpaceDE w:val="0"/>
              <w:autoSpaceDN w:val="0"/>
              <w:adjustRightInd w:val="0"/>
              <w:jc w:val="center"/>
              <w:rPr>
                <w:rFonts w:ascii="Palatino Linotype" w:hAnsi="Palatino Linotype" w:cs="Arial"/>
                <w:b/>
              </w:rPr>
            </w:pPr>
            <w:r w:rsidRPr="00F34645">
              <w:rPr>
                <w:rFonts w:ascii="Palatino Linotype" w:hAnsi="Palatino Linotype" w:cs="Arial"/>
                <w:b/>
              </w:rPr>
              <w:t>COMISIONADA</w:t>
            </w:r>
          </w:p>
          <w:p w:rsidR="00C934F9" w:rsidRPr="00F34645" w:rsidRDefault="00C934F9" w:rsidP="00F34645">
            <w:pPr>
              <w:autoSpaceDE w:val="0"/>
              <w:autoSpaceDN w:val="0"/>
              <w:adjustRightInd w:val="0"/>
              <w:jc w:val="center"/>
              <w:rPr>
                <w:rFonts w:ascii="Palatino Linotype" w:hAnsi="Palatino Linotype" w:cs="Arial"/>
                <w:b/>
              </w:rPr>
            </w:pPr>
            <w:r>
              <w:rPr>
                <w:rFonts w:ascii="Palatino Linotype" w:hAnsi="Palatino Linotype" w:cs="Arial"/>
                <w:b/>
              </w:rPr>
              <w:t>(RÚBRICA)</w:t>
            </w:r>
          </w:p>
        </w:tc>
        <w:tc>
          <w:tcPr>
            <w:tcW w:w="4951" w:type="dxa"/>
            <w:tcBorders>
              <w:top w:val="nil"/>
              <w:left w:val="nil"/>
              <w:bottom w:val="nil"/>
              <w:right w:val="nil"/>
            </w:tcBorders>
          </w:tcPr>
          <w:p w:rsidR="00F34645" w:rsidRDefault="00F34645" w:rsidP="00F34645">
            <w:pPr>
              <w:autoSpaceDE w:val="0"/>
              <w:autoSpaceDN w:val="0"/>
              <w:adjustRightInd w:val="0"/>
              <w:jc w:val="center"/>
              <w:rPr>
                <w:rFonts w:ascii="Palatino Linotype" w:hAnsi="Palatino Linotype" w:cs="Arial"/>
                <w:b/>
              </w:rPr>
            </w:pPr>
            <w:r w:rsidRPr="00F34645">
              <w:rPr>
                <w:rFonts w:ascii="Palatino Linotype" w:hAnsi="Palatino Linotype" w:cs="Arial"/>
                <w:b/>
              </w:rPr>
              <w:t>COMISIONADO</w:t>
            </w:r>
          </w:p>
          <w:p w:rsidR="00C934F9" w:rsidRPr="00F34645" w:rsidRDefault="00C934F9" w:rsidP="00F34645">
            <w:pPr>
              <w:autoSpaceDE w:val="0"/>
              <w:autoSpaceDN w:val="0"/>
              <w:adjustRightInd w:val="0"/>
              <w:jc w:val="center"/>
              <w:rPr>
                <w:rFonts w:ascii="Palatino Linotype" w:hAnsi="Palatino Linotype" w:cs="Arial"/>
                <w:b/>
              </w:rPr>
            </w:pPr>
            <w:r>
              <w:rPr>
                <w:rFonts w:ascii="Palatino Linotype" w:hAnsi="Palatino Linotype" w:cs="Arial"/>
                <w:b/>
              </w:rPr>
              <w:t>(RÚBRICA)</w:t>
            </w:r>
          </w:p>
        </w:tc>
      </w:tr>
      <w:tr w:rsidR="00F34645" w:rsidTr="00F34645">
        <w:tc>
          <w:tcPr>
            <w:tcW w:w="9204" w:type="dxa"/>
            <w:gridSpan w:val="2"/>
            <w:tcBorders>
              <w:top w:val="nil"/>
              <w:left w:val="nil"/>
              <w:bottom w:val="nil"/>
              <w:right w:val="nil"/>
            </w:tcBorders>
          </w:tcPr>
          <w:p w:rsidR="00F34645" w:rsidRPr="00F34645" w:rsidRDefault="00F34645" w:rsidP="00F34645">
            <w:pPr>
              <w:autoSpaceDE w:val="0"/>
              <w:autoSpaceDN w:val="0"/>
              <w:adjustRightInd w:val="0"/>
              <w:jc w:val="center"/>
              <w:rPr>
                <w:rFonts w:ascii="Palatino Linotype" w:hAnsi="Palatino Linotype" w:cs="Arial"/>
                <w:b/>
              </w:rPr>
            </w:pPr>
          </w:p>
          <w:p w:rsidR="00F34645" w:rsidRDefault="00F34645" w:rsidP="00F34645">
            <w:pPr>
              <w:autoSpaceDE w:val="0"/>
              <w:autoSpaceDN w:val="0"/>
              <w:adjustRightInd w:val="0"/>
              <w:jc w:val="center"/>
              <w:rPr>
                <w:rFonts w:ascii="Palatino Linotype" w:hAnsi="Palatino Linotype" w:cs="Arial"/>
                <w:b/>
              </w:rPr>
            </w:pPr>
          </w:p>
          <w:p w:rsidR="00D7476D" w:rsidRPr="00F34645" w:rsidRDefault="00D7476D" w:rsidP="00F34645">
            <w:pPr>
              <w:autoSpaceDE w:val="0"/>
              <w:autoSpaceDN w:val="0"/>
              <w:adjustRightInd w:val="0"/>
              <w:jc w:val="center"/>
              <w:rPr>
                <w:rFonts w:ascii="Palatino Linotype" w:hAnsi="Palatino Linotype" w:cs="Arial"/>
                <w:b/>
              </w:rPr>
            </w:pPr>
          </w:p>
          <w:p w:rsidR="00F34645" w:rsidRPr="00F34645" w:rsidRDefault="00F34645" w:rsidP="00F34645">
            <w:pPr>
              <w:autoSpaceDE w:val="0"/>
              <w:autoSpaceDN w:val="0"/>
              <w:adjustRightInd w:val="0"/>
              <w:ind w:right="49"/>
              <w:jc w:val="center"/>
              <w:rPr>
                <w:rFonts w:ascii="Palatino Linotype" w:hAnsi="Palatino Linotype" w:cs="Arial"/>
                <w:b/>
              </w:rPr>
            </w:pPr>
            <w:r w:rsidRPr="00F34645">
              <w:rPr>
                <w:rFonts w:ascii="Palatino Linotype" w:hAnsi="Palatino Linotype" w:cs="Arial"/>
                <w:b/>
              </w:rPr>
              <w:t>LUIS GUSTAVO PARRA NORIEGA</w:t>
            </w:r>
          </w:p>
        </w:tc>
      </w:tr>
      <w:tr w:rsidR="00F34645" w:rsidTr="00F34645">
        <w:tc>
          <w:tcPr>
            <w:tcW w:w="9204" w:type="dxa"/>
            <w:gridSpan w:val="2"/>
            <w:tcBorders>
              <w:top w:val="nil"/>
              <w:left w:val="nil"/>
              <w:bottom w:val="nil"/>
              <w:right w:val="nil"/>
            </w:tcBorders>
          </w:tcPr>
          <w:p w:rsidR="00F34645" w:rsidRDefault="00F34645" w:rsidP="00F34645">
            <w:pPr>
              <w:autoSpaceDE w:val="0"/>
              <w:autoSpaceDN w:val="0"/>
              <w:adjustRightInd w:val="0"/>
              <w:ind w:right="49"/>
              <w:jc w:val="center"/>
              <w:rPr>
                <w:rFonts w:ascii="Palatino Linotype" w:hAnsi="Palatino Linotype" w:cs="Arial"/>
                <w:b/>
              </w:rPr>
            </w:pPr>
            <w:r w:rsidRPr="00F34645">
              <w:rPr>
                <w:rFonts w:ascii="Palatino Linotype" w:hAnsi="Palatino Linotype" w:cs="Arial"/>
                <w:b/>
              </w:rPr>
              <w:t>COMISIONADO</w:t>
            </w:r>
          </w:p>
          <w:p w:rsidR="00C934F9" w:rsidRPr="00F34645" w:rsidRDefault="00C934F9" w:rsidP="00F34645">
            <w:pPr>
              <w:autoSpaceDE w:val="0"/>
              <w:autoSpaceDN w:val="0"/>
              <w:adjustRightInd w:val="0"/>
              <w:ind w:right="49"/>
              <w:jc w:val="center"/>
              <w:rPr>
                <w:rFonts w:ascii="Palatino Linotype" w:hAnsi="Palatino Linotype" w:cs="Arial"/>
                <w:b/>
              </w:rPr>
            </w:pPr>
            <w:r>
              <w:rPr>
                <w:rFonts w:ascii="Palatino Linotype" w:hAnsi="Palatino Linotype" w:cs="Arial"/>
                <w:b/>
              </w:rPr>
              <w:t>(RÚBRICA)</w:t>
            </w:r>
          </w:p>
        </w:tc>
      </w:tr>
    </w:tbl>
    <w:p w:rsidR="00D7476D" w:rsidRDefault="00202921" w:rsidP="00385565">
      <w:pPr>
        <w:jc w:val="both"/>
        <w:rPr>
          <w:rFonts w:ascii="Palatino Linotype" w:eastAsia="Calibri" w:hAnsi="Palatino Linotype" w:cs="Arial"/>
          <w:color w:val="000000" w:themeColor="text1"/>
          <w:sz w:val="16"/>
          <w:szCs w:val="20"/>
        </w:rPr>
      </w:pPr>
      <w:r w:rsidRPr="00D7476D">
        <w:rPr>
          <w:rFonts w:ascii="Palatino Linotype" w:eastAsia="Calibri" w:hAnsi="Palatino Linotype" w:cs="Arial"/>
          <w:color w:val="000000" w:themeColor="text1"/>
          <w:sz w:val="16"/>
          <w:szCs w:val="20"/>
        </w:rPr>
        <w:t>Esta hoja corresponde al voto particular</w:t>
      </w:r>
      <w:r w:rsidR="00227DE1" w:rsidRPr="00D7476D">
        <w:rPr>
          <w:rFonts w:ascii="Palatino Linotype" w:eastAsia="Calibri" w:hAnsi="Palatino Linotype" w:cs="Arial"/>
          <w:color w:val="000000" w:themeColor="text1"/>
          <w:sz w:val="16"/>
          <w:szCs w:val="20"/>
        </w:rPr>
        <w:t xml:space="preserve"> concurrente</w:t>
      </w:r>
      <w:r w:rsidRPr="00D7476D">
        <w:rPr>
          <w:rFonts w:ascii="Palatino Linotype" w:eastAsia="Calibri" w:hAnsi="Palatino Linotype" w:cs="Arial"/>
          <w:color w:val="000000" w:themeColor="text1"/>
          <w:sz w:val="16"/>
          <w:szCs w:val="20"/>
        </w:rPr>
        <w:t xml:space="preserve"> emitido</w:t>
      </w:r>
      <w:r w:rsidR="006468C8" w:rsidRPr="00D7476D">
        <w:rPr>
          <w:rFonts w:ascii="Palatino Linotype" w:eastAsia="Calibri" w:hAnsi="Palatino Linotype" w:cs="Arial"/>
          <w:color w:val="000000" w:themeColor="text1"/>
          <w:sz w:val="16"/>
          <w:szCs w:val="20"/>
        </w:rPr>
        <w:t xml:space="preserve"> en </w:t>
      </w:r>
      <w:r w:rsidR="0046500C" w:rsidRPr="00D7476D">
        <w:rPr>
          <w:rFonts w:ascii="Palatino Linotype" w:eastAsia="Calibri" w:hAnsi="Palatino Linotype" w:cs="Arial"/>
          <w:color w:val="000000" w:themeColor="text1"/>
          <w:sz w:val="16"/>
          <w:szCs w:val="20"/>
        </w:rPr>
        <w:t>la resolución del</w:t>
      </w:r>
      <w:r w:rsidR="006468C8" w:rsidRPr="00D7476D">
        <w:rPr>
          <w:rFonts w:ascii="Palatino Linotype" w:eastAsia="Calibri" w:hAnsi="Palatino Linotype" w:cs="Arial"/>
          <w:color w:val="000000" w:themeColor="text1"/>
          <w:sz w:val="16"/>
          <w:szCs w:val="20"/>
        </w:rPr>
        <w:t xml:space="preserve"> recurso de revisión 0</w:t>
      </w:r>
      <w:r w:rsidR="00227DE1" w:rsidRPr="00D7476D">
        <w:rPr>
          <w:rFonts w:ascii="Palatino Linotype" w:eastAsia="Calibri" w:hAnsi="Palatino Linotype" w:cs="Arial"/>
          <w:color w:val="000000" w:themeColor="text1"/>
          <w:sz w:val="16"/>
          <w:szCs w:val="20"/>
        </w:rPr>
        <w:t>3</w:t>
      </w:r>
      <w:r w:rsidR="00F34645" w:rsidRPr="00D7476D">
        <w:rPr>
          <w:rFonts w:ascii="Palatino Linotype" w:eastAsia="Calibri" w:hAnsi="Palatino Linotype" w:cs="Arial"/>
          <w:color w:val="000000" w:themeColor="text1"/>
          <w:sz w:val="16"/>
          <w:szCs w:val="20"/>
        </w:rPr>
        <w:t>145</w:t>
      </w:r>
      <w:r w:rsidRPr="00D7476D">
        <w:rPr>
          <w:rFonts w:ascii="Palatino Linotype" w:eastAsia="Calibri" w:hAnsi="Palatino Linotype" w:cs="Arial"/>
          <w:color w:val="000000" w:themeColor="text1"/>
          <w:sz w:val="16"/>
          <w:szCs w:val="20"/>
        </w:rPr>
        <w:t>/INFOEM/IP/RR/2018, aprobad</w:t>
      </w:r>
      <w:r w:rsidR="0046500C" w:rsidRPr="00D7476D">
        <w:rPr>
          <w:rFonts w:ascii="Palatino Linotype" w:eastAsia="Calibri" w:hAnsi="Palatino Linotype" w:cs="Arial"/>
          <w:color w:val="000000" w:themeColor="text1"/>
          <w:sz w:val="16"/>
          <w:szCs w:val="20"/>
        </w:rPr>
        <w:t>a</w:t>
      </w:r>
      <w:r w:rsidRPr="00D7476D">
        <w:rPr>
          <w:rFonts w:ascii="Palatino Linotype" w:eastAsia="Calibri" w:hAnsi="Palatino Linotype" w:cs="Arial"/>
          <w:color w:val="000000" w:themeColor="text1"/>
          <w:sz w:val="16"/>
          <w:szCs w:val="20"/>
        </w:rPr>
        <w:t xml:space="preserve"> el </w:t>
      </w:r>
      <w:r w:rsidR="00227DE1" w:rsidRPr="00D7476D">
        <w:rPr>
          <w:rFonts w:ascii="Palatino Linotype" w:eastAsia="Calibri" w:hAnsi="Palatino Linotype" w:cs="Arial"/>
          <w:color w:val="000000" w:themeColor="text1"/>
          <w:sz w:val="16"/>
          <w:szCs w:val="20"/>
        </w:rPr>
        <w:t>treinta y uno de octubre</w:t>
      </w:r>
      <w:r w:rsidR="0046500C" w:rsidRPr="00D7476D">
        <w:rPr>
          <w:rFonts w:ascii="Palatino Linotype" w:eastAsia="Calibri" w:hAnsi="Palatino Linotype" w:cs="Arial"/>
          <w:color w:val="000000" w:themeColor="text1"/>
          <w:sz w:val="16"/>
          <w:szCs w:val="20"/>
        </w:rPr>
        <w:t xml:space="preserve"> </w:t>
      </w:r>
      <w:r w:rsidR="006468C8" w:rsidRPr="00D7476D">
        <w:rPr>
          <w:rFonts w:ascii="Palatino Linotype" w:eastAsia="Calibri" w:hAnsi="Palatino Linotype" w:cs="Arial"/>
          <w:color w:val="000000" w:themeColor="text1"/>
          <w:sz w:val="16"/>
          <w:szCs w:val="20"/>
        </w:rPr>
        <w:t xml:space="preserve">de </w:t>
      </w:r>
      <w:r w:rsidRPr="00D7476D">
        <w:rPr>
          <w:rFonts w:ascii="Palatino Linotype" w:eastAsia="Calibri" w:hAnsi="Palatino Linotype" w:cs="Arial"/>
          <w:color w:val="000000" w:themeColor="text1"/>
          <w:sz w:val="16"/>
          <w:szCs w:val="20"/>
        </w:rPr>
        <w:t xml:space="preserve">dos mil dieciocho.  </w:t>
      </w:r>
    </w:p>
    <w:p w:rsidR="00202921" w:rsidRPr="00D7476D" w:rsidRDefault="00202921" w:rsidP="00385565">
      <w:pPr>
        <w:jc w:val="both"/>
        <w:rPr>
          <w:rFonts w:ascii="Palatino Linotype" w:hAnsi="Palatino Linotype"/>
          <w:sz w:val="16"/>
          <w:szCs w:val="20"/>
        </w:rPr>
      </w:pPr>
      <w:r w:rsidRPr="00D7476D">
        <w:rPr>
          <w:rFonts w:ascii="Palatino Linotype" w:eastAsia="Calibri" w:hAnsi="Palatino Linotype" w:cs="Arial"/>
          <w:color w:val="000000" w:themeColor="text1"/>
          <w:sz w:val="16"/>
          <w:szCs w:val="20"/>
        </w:rPr>
        <w:t>YSM/A</w:t>
      </w:r>
      <w:r w:rsidR="0046500C" w:rsidRPr="00D7476D">
        <w:rPr>
          <w:rFonts w:ascii="Palatino Linotype" w:eastAsia="Calibri" w:hAnsi="Palatino Linotype" w:cs="Arial"/>
          <w:color w:val="000000" w:themeColor="text1"/>
          <w:sz w:val="16"/>
          <w:szCs w:val="20"/>
        </w:rPr>
        <w:t>TU</w:t>
      </w:r>
      <w:r w:rsidR="003847DA" w:rsidRPr="00D7476D">
        <w:rPr>
          <w:rFonts w:ascii="Palatino Linotype" w:eastAsia="Calibri" w:hAnsi="Palatino Linotype" w:cs="Arial"/>
          <w:color w:val="000000" w:themeColor="text1"/>
          <w:sz w:val="16"/>
          <w:szCs w:val="20"/>
        </w:rPr>
        <w:t>/SAVDP/SIRP</w:t>
      </w:r>
    </w:p>
    <w:sectPr w:rsidR="00202921" w:rsidRPr="00D7476D" w:rsidSect="005F4959">
      <w:headerReference w:type="even" r:id="rId13"/>
      <w:headerReference w:type="default" r:id="rId14"/>
      <w:footerReference w:type="default" r:id="rId15"/>
      <w:headerReference w:type="first" r:id="rId16"/>
      <w:pgSz w:w="12240" w:h="15840"/>
      <w:pgMar w:top="1418" w:right="1325"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5C" w:rsidRDefault="005D2D5C" w:rsidP="00202921">
      <w:r>
        <w:separator/>
      </w:r>
    </w:p>
  </w:endnote>
  <w:endnote w:type="continuationSeparator" w:id="0">
    <w:p w:rsidR="005D2D5C" w:rsidRDefault="005D2D5C" w:rsidP="0020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934F9" w:rsidP="00DC5C4E">
    <w:pPr>
      <w:pStyle w:val="Piedepgina"/>
      <w:tabs>
        <w:tab w:val="clear" w:pos="4252"/>
        <w:tab w:val="left" w:pos="4228"/>
      </w:tabs>
      <w:rPr>
        <w:rFonts w:ascii="Palatino Linotype" w:hAnsi="Palatino Linotype" w:cs="Arial"/>
        <w:b/>
        <w:bCs/>
        <w:sz w:val="20"/>
        <w:szCs w:val="20"/>
      </w:rPr>
    </w:pPr>
  </w:p>
  <w:p w:rsidR="006468C8" w:rsidRDefault="006468C8" w:rsidP="00DC5C4E">
    <w:pPr>
      <w:pStyle w:val="Piedepgina"/>
      <w:tabs>
        <w:tab w:val="clear" w:pos="4252"/>
        <w:tab w:val="left" w:pos="4228"/>
      </w:tabs>
      <w:rPr>
        <w:rFonts w:ascii="Palatino Linotype" w:hAnsi="Palatino Linotype" w:cs="Arial"/>
        <w:b/>
        <w:bCs/>
        <w:sz w:val="20"/>
        <w:szCs w:val="20"/>
      </w:rPr>
    </w:pPr>
  </w:p>
  <w:p w:rsidR="005C7C8F" w:rsidRDefault="00C934F9" w:rsidP="00DC5C4E">
    <w:pPr>
      <w:pStyle w:val="Piedepgina"/>
      <w:tabs>
        <w:tab w:val="clear" w:pos="4252"/>
        <w:tab w:val="left" w:pos="4228"/>
      </w:tabs>
      <w:rPr>
        <w:rFonts w:ascii="Palatino Linotype" w:hAnsi="Palatino Linotype" w:cs="Arial"/>
        <w:b/>
        <w:bCs/>
        <w:sz w:val="20"/>
        <w:szCs w:val="20"/>
      </w:rPr>
    </w:pPr>
  </w:p>
  <w:p w:rsidR="005C7C8F" w:rsidRDefault="00C934F9" w:rsidP="00DC5C4E">
    <w:pPr>
      <w:pStyle w:val="Piedepgina"/>
      <w:rPr>
        <w:rFonts w:ascii="Palatino Linotype" w:hAnsi="Palatino Linotype" w:cs="Arial"/>
        <w:b/>
        <w:bCs/>
        <w:sz w:val="20"/>
        <w:szCs w:val="20"/>
      </w:rPr>
    </w:pPr>
  </w:p>
  <w:p w:rsidR="005C7C8F" w:rsidRPr="00F12350" w:rsidRDefault="00615728"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934F9">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934F9">
      <w:rPr>
        <w:rFonts w:ascii="Palatino Linotype" w:hAnsi="Palatino Linotype" w:cs="Arial"/>
        <w:b/>
        <w:bCs/>
        <w:noProof/>
        <w:sz w:val="20"/>
        <w:szCs w:val="20"/>
      </w:rPr>
      <w:t>9</w:t>
    </w:r>
    <w:r w:rsidRPr="00F12350">
      <w:rPr>
        <w:rFonts w:ascii="Palatino Linotype" w:hAnsi="Palatino Linotype" w:cs="Arial"/>
        <w:b/>
        <w:bCs/>
        <w:sz w:val="20"/>
        <w:szCs w:val="20"/>
      </w:rPr>
      <w:fldChar w:fldCharType="end"/>
    </w:r>
  </w:p>
  <w:p w:rsidR="005C7C8F" w:rsidRDefault="00C934F9" w:rsidP="00DC5C4E">
    <w:pPr>
      <w:pStyle w:val="Piedepgina"/>
      <w:ind w:firstLine="708"/>
    </w:pPr>
  </w:p>
  <w:p w:rsidR="002E136D" w:rsidRDefault="002E13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5C" w:rsidRDefault="005D2D5C" w:rsidP="00202921">
      <w:r>
        <w:separator/>
      </w:r>
    </w:p>
  </w:footnote>
  <w:footnote w:type="continuationSeparator" w:id="0">
    <w:p w:rsidR="005D2D5C" w:rsidRDefault="005D2D5C" w:rsidP="00202921">
      <w:r>
        <w:continuationSeparator/>
      </w:r>
    </w:p>
  </w:footnote>
  <w:footnote w:id="1">
    <w:p w:rsidR="00383A93" w:rsidRPr="000015CB" w:rsidRDefault="00383A93" w:rsidP="00383A93">
      <w:pPr>
        <w:pStyle w:val="Textonotapie"/>
        <w:rPr>
          <w:rFonts w:ascii="Palatino Linotype" w:hAnsi="Palatino Linotype"/>
          <w:sz w:val="18"/>
        </w:rPr>
      </w:pPr>
      <w:r w:rsidRPr="000015CB">
        <w:rPr>
          <w:rStyle w:val="Refdenotaalpie"/>
          <w:rFonts w:ascii="Palatino Linotype" w:hAnsi="Palatino Linotype"/>
          <w:sz w:val="18"/>
        </w:rPr>
        <w:footnoteRef/>
      </w:r>
      <w:r w:rsidRPr="000015CB">
        <w:rPr>
          <w:rFonts w:ascii="Palatino Linotype" w:hAnsi="Palatino Linotype"/>
          <w:sz w:val="18"/>
        </w:rPr>
        <w:t xml:space="preserve"> Convención Americana sobre Derechos Humanos. Artículo 13.</w:t>
      </w:r>
    </w:p>
  </w:footnote>
  <w:footnote w:id="2">
    <w:p w:rsidR="00383A93" w:rsidRPr="000015CB" w:rsidRDefault="00383A93" w:rsidP="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Constitución Política de los Estados Unidos Mexicanos. Artículo sexto, sección A, Fracción I.</w:t>
      </w:r>
    </w:p>
  </w:footnote>
  <w:footnote w:id="3">
    <w:p w:rsidR="00383A93" w:rsidRPr="000015CB" w:rsidRDefault="00383A93">
      <w:pPr>
        <w:pStyle w:val="Textonotapie"/>
        <w:rPr>
          <w:rFonts w:ascii="Palatino Linotype" w:hAnsi="Palatino Linotype"/>
          <w:sz w:val="18"/>
        </w:rPr>
      </w:pPr>
      <w:r w:rsidRPr="000015CB">
        <w:rPr>
          <w:rStyle w:val="Refdenotaalpie"/>
          <w:rFonts w:ascii="Palatino Linotype" w:hAnsi="Palatino Linotype"/>
          <w:sz w:val="18"/>
        </w:rPr>
        <w:footnoteRef/>
      </w:r>
      <w:r w:rsidRPr="000015CB">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383A93" w:rsidRPr="000015CB" w:rsidRDefault="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Ibídem. Párr. 87.</w:t>
      </w:r>
    </w:p>
  </w:footnote>
  <w:footnote w:id="5">
    <w:p w:rsidR="00383A93" w:rsidRPr="000015CB" w:rsidRDefault="00383A93">
      <w:pPr>
        <w:pStyle w:val="Textonotapie"/>
        <w:rPr>
          <w:rFonts w:ascii="Palatino Linotype" w:hAnsi="Palatino Linotype"/>
          <w:sz w:val="18"/>
          <w:lang w:val="es-MX"/>
        </w:rPr>
      </w:pPr>
      <w:r w:rsidRPr="000015CB">
        <w:rPr>
          <w:rStyle w:val="Refdenotaalpie"/>
          <w:rFonts w:ascii="Palatino Linotype" w:hAnsi="Palatino Linotype"/>
          <w:sz w:val="18"/>
        </w:rPr>
        <w:footnoteRef/>
      </w:r>
      <w:r w:rsidRPr="000015CB">
        <w:rPr>
          <w:rFonts w:ascii="Palatino Linotype" w:hAnsi="Palatino Linotype"/>
          <w:sz w:val="18"/>
        </w:rPr>
        <w:t xml:space="preserve"> </w:t>
      </w:r>
      <w:r w:rsidR="000015CB" w:rsidRPr="000015CB">
        <w:rPr>
          <w:rFonts w:ascii="Palatino Linotype" w:hAnsi="Palatino Linotype"/>
          <w:sz w:val="18"/>
        </w:rPr>
        <w:t>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http://www.oas.org/es/cidh/expresion/documentos_basicos/declaraciones.asp.</w:t>
      </w:r>
    </w:p>
  </w:footnote>
  <w:footnote w:id="6">
    <w:p w:rsidR="00DF4AC7" w:rsidRPr="00DF4AC7" w:rsidRDefault="00DF4AC7">
      <w:pPr>
        <w:pStyle w:val="Textonotapie"/>
        <w:rPr>
          <w:lang w:val="es-MX"/>
        </w:rPr>
      </w:pPr>
      <w:r>
        <w:rPr>
          <w:rStyle w:val="Refdenotaalpie"/>
        </w:rPr>
        <w:footnoteRef/>
      </w:r>
      <w:r>
        <w:t xml:space="preserve"> </w:t>
      </w:r>
      <w:r w:rsidRPr="00DF4AC7">
        <w:t xml:space="preserve">sine qua non. Loc. lat. (pron. [sine-kuá-non] o [sine-kua-nón]) que significa literalmente ‘sin la cual no’. Se emplea con el sentido de ‘[condición] que resulta indispensable para algo’: «La democracia es una condición sine qua non para pertenecer al Mercosur» (DAméricas [EE. UU.] 4.3.97).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934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p w:rsidR="002E136D" w:rsidRDefault="002E13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615728"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5FEEF36E" wp14:editId="6CFDAEA1">
          <wp:simplePos x="0" y="0"/>
          <wp:positionH relativeFrom="column">
            <wp:posOffset>-744220</wp:posOffset>
          </wp:positionH>
          <wp:positionV relativeFrom="paragraph">
            <wp:posOffset>-423512</wp:posOffset>
          </wp:positionV>
          <wp:extent cx="7604125" cy="99034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615728"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r w:rsidR="002F0051">
      <w:rPr>
        <w:rFonts w:ascii="Palatino Linotype" w:hAnsi="Palatino Linotype" w:cs="Arial"/>
        <w:sz w:val="20"/>
        <w:szCs w:val="20"/>
      </w:rPr>
      <w:t xml:space="preserve"> CONCURRENTE</w:t>
    </w:r>
  </w:p>
  <w:p w:rsidR="00400547" w:rsidRDefault="00400547" w:rsidP="00400547">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ab/>
    </w:r>
    <w:r>
      <w:rPr>
        <w:rFonts w:ascii="Palatino Linotype" w:hAnsi="Palatino Linotype" w:cs="Arial"/>
        <w:sz w:val="20"/>
        <w:szCs w:val="20"/>
      </w:rPr>
      <w:tab/>
    </w:r>
    <w:r>
      <w:rPr>
        <w:rFonts w:ascii="Palatino Linotype" w:hAnsi="Palatino Linotype" w:cs="Arial"/>
        <w:sz w:val="20"/>
        <w:szCs w:val="20"/>
      </w:rPr>
      <w:tab/>
    </w:r>
    <w:r>
      <w:rPr>
        <w:rFonts w:ascii="Palatino Linotype" w:hAnsi="Palatino Linotype" w:cs="Arial"/>
        <w:sz w:val="20"/>
        <w:szCs w:val="20"/>
      </w:rPr>
      <w:tab/>
    </w:r>
    <w:r w:rsidR="00615728" w:rsidRPr="00706042">
      <w:rPr>
        <w:rFonts w:ascii="Palatino Linotype" w:hAnsi="Palatino Linotype" w:cs="Arial"/>
        <w:sz w:val="20"/>
        <w:szCs w:val="20"/>
      </w:rPr>
      <w:t xml:space="preserve">RECURSO DE REVISIÓN </w:t>
    </w:r>
    <w:r w:rsidRPr="00400547">
      <w:rPr>
        <w:rFonts w:ascii="Palatino Linotype" w:hAnsi="Palatino Linotype" w:cs="Arial"/>
        <w:sz w:val="20"/>
        <w:szCs w:val="20"/>
      </w:rPr>
      <w:t>0</w:t>
    </w:r>
    <w:r w:rsidR="002F0051">
      <w:rPr>
        <w:rFonts w:ascii="Palatino Linotype" w:hAnsi="Palatino Linotype" w:cs="Arial"/>
        <w:sz w:val="20"/>
        <w:szCs w:val="20"/>
      </w:rPr>
      <w:t>3</w:t>
    </w:r>
    <w:r w:rsidR="00DC12D0">
      <w:rPr>
        <w:rFonts w:ascii="Palatino Linotype" w:hAnsi="Palatino Linotype" w:cs="Arial"/>
        <w:sz w:val="20"/>
        <w:szCs w:val="20"/>
      </w:rPr>
      <w:t>145</w:t>
    </w:r>
    <w:r w:rsidRPr="00400547">
      <w:rPr>
        <w:rFonts w:ascii="Palatino Linotype" w:hAnsi="Palatino Linotype" w:cs="Arial"/>
        <w:sz w:val="20"/>
        <w:szCs w:val="20"/>
      </w:rPr>
      <w:t>/INFOEM/IP/RR/2018</w:t>
    </w:r>
  </w:p>
  <w:p w:rsidR="00400547" w:rsidRDefault="00400547" w:rsidP="00400547">
    <w:pPr>
      <w:pStyle w:val="Encabezado"/>
      <w:tabs>
        <w:tab w:val="clear" w:pos="4252"/>
        <w:tab w:val="clear" w:pos="8504"/>
        <w:tab w:val="left" w:pos="2326"/>
      </w:tabs>
      <w:jc w:val="right"/>
      <w:rPr>
        <w:rFonts w:ascii="Palatino Linotype" w:hAnsi="Palatino Linotype" w:cs="Arial"/>
        <w:sz w:val="20"/>
        <w:szCs w:val="20"/>
      </w:rPr>
    </w:pPr>
  </w:p>
  <w:p w:rsidR="006008A4" w:rsidRDefault="00C934F9" w:rsidP="00DC5C4E">
    <w:pPr>
      <w:pStyle w:val="Encabezado"/>
      <w:tabs>
        <w:tab w:val="clear" w:pos="4252"/>
        <w:tab w:val="clear" w:pos="8504"/>
        <w:tab w:val="left" w:pos="2326"/>
      </w:tabs>
      <w:jc w:val="right"/>
      <w:rPr>
        <w:rFonts w:ascii="Palatino Linotype" w:hAnsi="Palatino Linotype" w:cs="Arial"/>
        <w:sz w:val="20"/>
        <w:szCs w:val="20"/>
      </w:rPr>
    </w:pPr>
  </w:p>
  <w:p w:rsidR="002E136D" w:rsidRDefault="00C934F9">
    <w:r>
      <w:rPr>
        <w:rFonts w:asciiTheme="minorHAnsi" w:hAnsiTheme="minorHAnsi" w:cstheme="minorBidi"/>
        <w:noProof/>
        <w:lang w:val="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margin-left:0;margin-top:0;width:644.6pt;height:78.65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CONCURREN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C934F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05165"/>
    <w:multiLevelType w:val="hybridMultilevel"/>
    <w:tmpl w:val="2DA6BA40"/>
    <w:lvl w:ilvl="0" w:tplc="E7A64C72">
      <w:start w:val="1"/>
      <w:numFmt w:val="upperLetter"/>
      <w:lvlText w:val="%1)"/>
      <w:lvlJc w:val="left"/>
      <w:pPr>
        <w:ind w:left="1591" w:hanging="36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1">
    <w:nsid w:val="0C4B3850"/>
    <w:multiLevelType w:val="hybridMultilevel"/>
    <w:tmpl w:val="7F02D25A"/>
    <w:lvl w:ilvl="0" w:tplc="97BED4A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nsid w:val="19F50126"/>
    <w:multiLevelType w:val="hybridMultilevel"/>
    <w:tmpl w:val="8F8E9F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B07AD7"/>
    <w:multiLevelType w:val="hybridMultilevel"/>
    <w:tmpl w:val="18EA4ED0"/>
    <w:lvl w:ilvl="0" w:tplc="D2C2DDD6">
      <w:start w:val="1"/>
      <w:numFmt w:val="lowerLetter"/>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nsid w:val="5E971E48"/>
    <w:multiLevelType w:val="hybridMultilevel"/>
    <w:tmpl w:val="6A7445D4"/>
    <w:lvl w:ilvl="0" w:tplc="8EDE746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nsid w:val="69715E06"/>
    <w:multiLevelType w:val="hybridMultilevel"/>
    <w:tmpl w:val="1190050E"/>
    <w:lvl w:ilvl="0" w:tplc="A4D28FAA">
      <w:start w:val="1"/>
      <w:numFmt w:val="decimal"/>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786B6EC1"/>
    <w:multiLevelType w:val="hybridMultilevel"/>
    <w:tmpl w:val="3D7C3346"/>
    <w:lvl w:ilvl="0" w:tplc="095E9CC8">
      <w:start w:val="1"/>
      <w:numFmt w:val="upperLetter"/>
      <w:lvlText w:val="%1)"/>
      <w:lvlJc w:val="left"/>
      <w:pPr>
        <w:ind w:left="4472" w:hanging="360"/>
      </w:pPr>
      <w:rPr>
        <w:rFonts w:hint="default"/>
      </w:rPr>
    </w:lvl>
    <w:lvl w:ilvl="1" w:tplc="080A0019" w:tentative="1">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num w:numId="1">
    <w:abstractNumId w:val="2"/>
  </w:num>
  <w:num w:numId="2">
    <w:abstractNumId w:val="6"/>
  </w:num>
  <w:num w:numId="3">
    <w:abstractNumId w:val="0"/>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21"/>
    <w:rsid w:val="000015CB"/>
    <w:rsid w:val="000060E4"/>
    <w:rsid w:val="0009048A"/>
    <w:rsid w:val="000F0BC5"/>
    <w:rsid w:val="001236B8"/>
    <w:rsid w:val="00173159"/>
    <w:rsid w:val="00177727"/>
    <w:rsid w:val="001E0C0E"/>
    <w:rsid w:val="00202921"/>
    <w:rsid w:val="00213408"/>
    <w:rsid w:val="00222326"/>
    <w:rsid w:val="00223BBB"/>
    <w:rsid w:val="00227DE1"/>
    <w:rsid w:val="002C1CC6"/>
    <w:rsid w:val="002E136D"/>
    <w:rsid w:val="002F0051"/>
    <w:rsid w:val="00364F1A"/>
    <w:rsid w:val="003837CB"/>
    <w:rsid w:val="00383A93"/>
    <w:rsid w:val="003847DA"/>
    <w:rsid w:val="00385565"/>
    <w:rsid w:val="003878EC"/>
    <w:rsid w:val="003C6361"/>
    <w:rsid w:val="00400547"/>
    <w:rsid w:val="00451878"/>
    <w:rsid w:val="0046500C"/>
    <w:rsid w:val="004E606A"/>
    <w:rsid w:val="00563561"/>
    <w:rsid w:val="005D2D5C"/>
    <w:rsid w:val="00615728"/>
    <w:rsid w:val="006468C8"/>
    <w:rsid w:val="00650F98"/>
    <w:rsid w:val="006937C9"/>
    <w:rsid w:val="00717A14"/>
    <w:rsid w:val="007739F4"/>
    <w:rsid w:val="00834348"/>
    <w:rsid w:val="00A86F59"/>
    <w:rsid w:val="00AB3A08"/>
    <w:rsid w:val="00B313DC"/>
    <w:rsid w:val="00B63948"/>
    <w:rsid w:val="00B81A48"/>
    <w:rsid w:val="00BF1B29"/>
    <w:rsid w:val="00C23B43"/>
    <w:rsid w:val="00C46E75"/>
    <w:rsid w:val="00C934F9"/>
    <w:rsid w:val="00C9714C"/>
    <w:rsid w:val="00C971FC"/>
    <w:rsid w:val="00CB7A00"/>
    <w:rsid w:val="00D7476D"/>
    <w:rsid w:val="00DC12D0"/>
    <w:rsid w:val="00DF46B8"/>
    <w:rsid w:val="00DF4AC7"/>
    <w:rsid w:val="00E515B2"/>
    <w:rsid w:val="00F22431"/>
    <w:rsid w:val="00F346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A2E6DD8-C5A3-4C85-B62B-D0AFC237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9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56356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02921"/>
    <w:rPr>
      <w:rFonts w:eastAsiaTheme="minorEastAsia"/>
      <w:sz w:val="24"/>
      <w:szCs w:val="24"/>
      <w:lang w:val="es-ES_tradnl" w:eastAsia="es-ES"/>
    </w:rPr>
  </w:style>
  <w:style w:type="paragraph" w:styleId="Piedepgina">
    <w:name w:val="footer"/>
    <w:basedOn w:val="Normal"/>
    <w:link w:val="Piedepgina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0292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02921"/>
    <w:pPr>
      <w:ind w:left="720"/>
      <w:contextualSpacing/>
    </w:pPr>
    <w:rPr>
      <w:rFonts w:asciiTheme="minorHAnsi" w:eastAsiaTheme="minorEastAsia" w:hAnsiTheme="minorHAnsi" w:cstheme="minorBidi"/>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2921"/>
    <w:rPr>
      <w:rFonts w:eastAsiaTheme="minorEastAsia"/>
      <w:sz w:val="24"/>
      <w:szCs w:val="24"/>
      <w:lang w:val="es-ES_tradnl" w:eastAsia="es-ES"/>
    </w:rPr>
  </w:style>
  <w:style w:type="character" w:customStyle="1" w:styleId="Ttulo2Car">
    <w:name w:val="Título 2 Car"/>
    <w:basedOn w:val="Fuentedeprrafopredeter"/>
    <w:link w:val="Ttulo2"/>
    <w:uiPriority w:val="9"/>
    <w:semiHidden/>
    <w:rsid w:val="0056356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F224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431"/>
    <w:rPr>
      <w:rFonts w:ascii="Segoe UI" w:eastAsia="Times New Roman" w:hAnsi="Segoe UI" w:cs="Segoe UI"/>
      <w:sz w:val="18"/>
      <w:szCs w:val="18"/>
      <w:lang w:val="es-ES" w:eastAsia="es-ES"/>
    </w:rPr>
  </w:style>
  <w:style w:type="paragraph" w:customStyle="1" w:styleId="Default">
    <w:name w:val="Default"/>
    <w:rsid w:val="0045187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83A9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83A93"/>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383A93"/>
    <w:rPr>
      <w:vertAlign w:val="superscript"/>
    </w:rPr>
  </w:style>
  <w:style w:type="character" w:styleId="Hipervnculo">
    <w:name w:val="Hyperlink"/>
    <w:basedOn w:val="Fuentedeprrafopredeter"/>
    <w:uiPriority w:val="99"/>
    <w:unhideWhenUsed/>
    <w:rsid w:val="000015CB"/>
    <w:rPr>
      <w:color w:val="0563C1" w:themeColor="hyperlink"/>
      <w:u w:val="single"/>
    </w:rPr>
  </w:style>
  <w:style w:type="table" w:styleId="Tablaconcuadrcula">
    <w:name w:val="Table Grid"/>
    <w:basedOn w:val="Tablanormal"/>
    <w:uiPriority w:val="39"/>
    <w:rsid w:val="00F3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puve-consulta.com.mx/consulta-ciudadan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epuve-consulta.com.mx/consulta-ciudadana"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C45F2-768F-4C5F-8AB4-EABF36D3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1757</Words>
  <Characters>9664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2018-11-07T01:04:00Z</cp:lastPrinted>
  <dcterms:created xsi:type="dcterms:W3CDTF">2018-11-05T18:40:00Z</dcterms:created>
  <dcterms:modified xsi:type="dcterms:W3CDTF">2018-11-21T02:50:00Z</dcterms:modified>
</cp:coreProperties>
</file>